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p14">
  <w:body>
    <w:p w:rsidRPr="00B86A84" w:rsidR="00DC192F" w:rsidP="64BB6341" w:rsidRDefault="00DC192F" w14:paraId="62F1D937" w14:textId="77777777" w14:noSpellErr="1">
      <w:pPr>
        <w:rPr>
          <w:rFonts w:cs="Calibri" w:cstheme="minorAscii"/>
          <w:b w:val="1"/>
          <w:bCs w:val="1"/>
          <w:sz w:val="36"/>
          <w:szCs w:val="36"/>
        </w:rPr>
      </w:pPr>
      <w:r w:rsidRPr="00B86A84">
        <w:rPr>
          <w:rFonts w:cstheme="minorHAnsi"/>
          <w:b/>
          <w:noProof/>
          <w:sz w:val="36"/>
          <w:szCs w:val="28"/>
          <w:lang w:eastAsia="en-GB"/>
        </w:rPr>
        <w:drawing>
          <wp:anchor distT="0" distB="0" distL="114300" distR="114300" simplePos="0" relativeHeight="251662336" behindDoc="0" locked="0" layoutInCell="1" allowOverlap="1" wp14:anchorId="427541A1" wp14:editId="730D7D73">
            <wp:simplePos x="0" y="0"/>
            <wp:positionH relativeFrom="margin">
              <wp:posOffset>3594100</wp:posOffset>
            </wp:positionH>
            <wp:positionV relativeFrom="margin">
              <wp:posOffset>-600075</wp:posOffset>
            </wp:positionV>
            <wp:extent cx="2657475" cy="686435"/>
            <wp:effectExtent l="0" t="0" r="9525" b="0"/>
            <wp:wrapSquare wrapText="bothSides"/>
            <wp:docPr id="2" name="Picture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8FC40A-7166-411E-A61E-F8E1329F4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8FC40A-7166-411E-A61E-F8E1329F4D0A}"/>
                        </a:ext>
                      </a:extLst>
                    </pic:cNvPr>
                    <pic:cNvPicPr>
                      <a:picLocks noChangeAspect="1"/>
                    </pic:cNvPicPr>
                  </pic:nvPicPr>
                  <pic:blipFill rotWithShape="1">
                    <a:blip r:embed="rId7">
                      <a:extLst>
                        <a:ext uri="{28A0092B-C50C-407E-A947-70E740481C1C}">
                          <a14:useLocalDpi xmlns:a14="http://schemas.microsoft.com/office/drawing/2010/main" val="0"/>
                        </a:ext>
                      </a:extLst>
                    </a:blip>
                    <a:srcRect l="9414" t="28640" r="14823" b="43645"/>
                    <a:stretch/>
                  </pic:blipFill>
                  <pic:spPr>
                    <a:xfrm>
                      <a:off x="0" y="0"/>
                      <a:ext cx="2657475" cy="686435"/>
                    </a:xfrm>
                    <a:prstGeom prst="rect">
                      <a:avLst/>
                    </a:prstGeom>
                  </pic:spPr>
                </pic:pic>
              </a:graphicData>
            </a:graphic>
          </wp:anchor>
        </w:drawing>
      </w:r>
      <w:r w:rsidRPr="64BB6341">
        <w:rPr/>
        <w:t xml:space="preserve">￼</w:t>
      </w:r>
      <w:r w:rsidRPr="64BB6341" w:rsidR="64BB6341">
        <w:rPr>
          <w:rFonts w:cs="Calibri" w:cstheme="minorAscii"/>
          <w:b w:val="1"/>
          <w:bCs w:val="1"/>
          <w:sz w:val="36"/>
          <w:szCs w:val="36"/>
        </w:rPr>
        <w:t xml:space="preserve">Technician Commitment </w:t>
      </w:r>
    </w:p>
    <w:p w:rsidR="00DC192F" w:rsidP="00DC192F" w:rsidRDefault="00DC192F" w14:paraId="7327094A" w14:textId="77777777">
      <w:pPr>
        <w:rPr>
          <w:rFonts w:cstheme="minorHAnsi"/>
          <w:b/>
          <w:sz w:val="28"/>
          <w:szCs w:val="28"/>
        </w:rPr>
      </w:pPr>
      <w:r>
        <w:rPr>
          <w:rFonts w:cstheme="minorHAnsi"/>
          <w:b/>
          <w:sz w:val="28"/>
          <w:szCs w:val="28"/>
        </w:rPr>
        <w:t xml:space="preserve">Guidance for Completing the Self-Assessment &amp; Action Plan </w:t>
      </w:r>
    </w:p>
    <w:p w:rsidR="00947E82" w:rsidP="00800950" w:rsidRDefault="00947E82" w14:paraId="3B9C54D1" w14:textId="77777777">
      <w:r w:rsidRPr="00947E82">
        <w:t>The Technician Commitment is a university and research institution initiative, led by a steering group of sector bodies, with support from the Science Council and the Gatsby Charitable Foundation’s Technicians Make It Happen campaign. The Commitment aims to ensure visibility, recognition, career development and sustainability for technicians working in higher education and research, across all disciplines. Universities and research institutes are invited to become signatories of the Technician Commitment and pledge action against the key challenges affecting their technical staff.</w:t>
      </w:r>
    </w:p>
    <w:p w:rsidR="00947E82" w:rsidP="00800950" w:rsidRDefault="00947E82" w14:paraId="776EB65B" w14:textId="77777777">
      <w:r>
        <w:t>The themes of the Technician Commitment are: Visibility, Recognition, Career Development, Sustainability and Evaluating Impact. The fifth theme of Evaluating Impact takes the form of a self-assessment process, to be undertaken one year after an organisation becomes a signatory and biennially thereafter.</w:t>
      </w:r>
    </w:p>
    <w:p w:rsidR="00DC192F" w:rsidP="00800950" w:rsidRDefault="00DC192F" w14:paraId="6D56B87E" w14:textId="4ACAAB13">
      <w:r>
        <w:t xml:space="preserve">The self-assessment process enables the Technician Commitment Steering Group to gain an understanding of </w:t>
      </w:r>
      <w:r w:rsidR="00947E82">
        <w:t xml:space="preserve">the position of each signatory </w:t>
      </w:r>
      <w:r>
        <w:t>organisation and the measures</w:t>
      </w:r>
      <w:r w:rsidR="00947E82">
        <w:t xml:space="preserve"> to be </w:t>
      </w:r>
      <w:r>
        <w:t xml:space="preserve">put in place to ensure that signatories </w:t>
      </w:r>
      <w:r w:rsidR="00947E82">
        <w:t xml:space="preserve">are </w:t>
      </w:r>
      <w:r w:rsidR="00A5748A">
        <w:t>making progress against the themes</w:t>
      </w:r>
      <w:r>
        <w:t xml:space="preserve"> </w:t>
      </w:r>
      <w:r w:rsidR="00947E82">
        <w:t xml:space="preserve">outlined in the Commitment. </w:t>
      </w:r>
      <w:r w:rsidR="005D624E">
        <w:t xml:space="preserve">The self-assessment process asks for </w:t>
      </w:r>
      <w:r w:rsidR="0072716B">
        <w:t xml:space="preserve">contextual information, </w:t>
      </w:r>
      <w:r w:rsidR="005D624E">
        <w:t>progress to date</w:t>
      </w:r>
      <w:r w:rsidR="0072716B">
        <w:t xml:space="preserve"> and </w:t>
      </w:r>
      <w:r w:rsidR="005D624E">
        <w:t xml:space="preserve">a detailed </w:t>
      </w:r>
      <w:r w:rsidR="00DB5D7F">
        <w:t>24-month</w:t>
      </w:r>
      <w:r w:rsidR="0072716B">
        <w:t xml:space="preserve"> </w:t>
      </w:r>
      <w:r w:rsidR="005D624E">
        <w:t>future action plan.</w:t>
      </w:r>
    </w:p>
    <w:p w:rsidR="00947E82" w:rsidP="00800950" w:rsidRDefault="00D413C3" w14:paraId="55751C16" w14:textId="56BD0B74">
      <w:r w:rsidRPr="00D413C3">
        <w:t xml:space="preserve">The </w:t>
      </w:r>
      <w:r w:rsidR="008657C6">
        <w:t>Technician</w:t>
      </w:r>
      <w:r>
        <w:t xml:space="preserve"> Commitment Steering Group does not seek t</w:t>
      </w:r>
      <w:r w:rsidRPr="00D413C3">
        <w:t xml:space="preserve">o dictate how organisations promote a positive culture </w:t>
      </w:r>
      <w:r>
        <w:t>for the technician community</w:t>
      </w:r>
      <w:r w:rsidRPr="00D413C3">
        <w:t>. This is a matter for autonomous institutions</w:t>
      </w:r>
      <w:r>
        <w:t xml:space="preserve"> and the technician</w:t>
      </w:r>
      <w:r w:rsidR="003237EA">
        <w:t xml:space="preserve">, </w:t>
      </w:r>
      <w:r w:rsidR="00DB5D7F">
        <w:t>research and</w:t>
      </w:r>
      <w:r w:rsidR="008657C6">
        <w:t xml:space="preserve"> academic </w:t>
      </w:r>
      <w:r>
        <w:t>community to agree.</w:t>
      </w:r>
      <w:r w:rsidR="003237EA">
        <w:t xml:space="preserve"> </w:t>
      </w:r>
      <w:r w:rsidR="00947E82">
        <w:t>It is expected that</w:t>
      </w:r>
      <w:r>
        <w:t xml:space="preserve"> as a minimum, </w:t>
      </w:r>
      <w:r w:rsidR="00947E82">
        <w:t xml:space="preserve">signatories </w:t>
      </w:r>
      <w:r w:rsidR="005D624E">
        <w:t xml:space="preserve">publicly state their </w:t>
      </w:r>
      <w:r>
        <w:t xml:space="preserve">Technician Commitment </w:t>
      </w:r>
      <w:r w:rsidR="005D624E">
        <w:t>signatory status</w:t>
      </w:r>
      <w:r>
        <w:t xml:space="preserve"> and </w:t>
      </w:r>
      <w:r w:rsidR="00266C8A">
        <w:t xml:space="preserve">institutional </w:t>
      </w:r>
      <w:r>
        <w:t>action plan</w:t>
      </w:r>
      <w:r w:rsidR="005D624E">
        <w:t xml:space="preserve"> </w:t>
      </w:r>
      <w:r>
        <w:t xml:space="preserve">on a dedicated and discoverable webpage, along with their named point of contact. </w:t>
      </w:r>
      <w:r w:rsidR="0072716B">
        <w:t xml:space="preserve">The Steering Group would like signatories to evidence that the ‘technician voice’ is present in the development and formation of institutional action plans. </w:t>
      </w:r>
      <w:r w:rsidR="008657C6">
        <w:t xml:space="preserve">The Technician Commitment is a collaborative endeavour and the Steering Group </w:t>
      </w:r>
      <w:r w:rsidR="003237EA">
        <w:t xml:space="preserve">will support and facilitate the establishment and sharing of best practice </w:t>
      </w:r>
      <w:r w:rsidR="0072716B">
        <w:t>demonstrated in</w:t>
      </w:r>
      <w:r w:rsidR="003237EA">
        <w:t xml:space="preserve"> the self-assessments and action plans. </w:t>
      </w:r>
      <w:r w:rsidR="0072716B">
        <w:t>A</w:t>
      </w:r>
      <w:r w:rsidR="008657C6">
        <w:t xml:space="preserve"> </w:t>
      </w:r>
      <w:r w:rsidRPr="008657C6" w:rsidR="008657C6">
        <w:t xml:space="preserve">vibrant community </w:t>
      </w:r>
      <w:r w:rsidR="008657C6">
        <w:t xml:space="preserve">of Institutional Leads </w:t>
      </w:r>
      <w:r w:rsidRPr="008657C6" w:rsidR="008657C6">
        <w:t xml:space="preserve">tasked with implementing the </w:t>
      </w:r>
      <w:r w:rsidR="008657C6">
        <w:t xml:space="preserve">Technician Commitment is emerging and the </w:t>
      </w:r>
      <w:r w:rsidR="00266C8A">
        <w:t>Steering</w:t>
      </w:r>
      <w:r w:rsidR="008657C6">
        <w:t xml:space="preserve"> Group aims to ensure a range of forums are available to enable </w:t>
      </w:r>
      <w:r w:rsidRPr="008657C6" w:rsidR="008657C6">
        <w:t xml:space="preserve">peers </w:t>
      </w:r>
      <w:r w:rsidR="008657C6">
        <w:t xml:space="preserve">to share </w:t>
      </w:r>
      <w:r w:rsidRPr="008657C6" w:rsidR="008657C6">
        <w:t>expertise, good practice and experiences</w:t>
      </w:r>
      <w:r w:rsidR="008657C6">
        <w:t xml:space="preserve">. </w:t>
      </w:r>
    </w:p>
    <w:p w:rsidR="00266C8A" w:rsidP="00800950" w:rsidRDefault="00266C8A" w14:paraId="08C365D7" w14:textId="600A0B63">
      <w:r>
        <w:t xml:space="preserve">To support institutional action planning, please see Appendix A for examples of activities and initiatives that have been successfully implemented in a range of universities and research institutes.  Additional details are available on the Technician Commitment’s dedicated online resource, available at </w:t>
      </w:r>
      <w:hyperlink w:history="1" r:id="rId8">
        <w:r w:rsidRPr="004A6EB0">
          <w:rPr>
            <w:rStyle w:val="Hyperlink"/>
          </w:rPr>
          <w:t>http://technicians.org.uk/techniciancommitment/</w:t>
        </w:r>
      </w:hyperlink>
      <w:r>
        <w:t xml:space="preserve">. </w:t>
      </w:r>
      <w:r w:rsidRPr="005A011A" w:rsidR="005A011A">
        <w:t>Cross referencing to other sector institutional reviews relevant to technicians</w:t>
      </w:r>
      <w:r w:rsidR="005A011A">
        <w:t xml:space="preserve"> </w:t>
      </w:r>
      <w:r w:rsidRPr="005A011A" w:rsidR="005A011A">
        <w:t>is welcomed</w:t>
      </w:r>
      <w:r w:rsidR="005A011A">
        <w:t>; fo</w:t>
      </w:r>
      <w:r w:rsidRPr="005A011A" w:rsidR="005A011A">
        <w:t xml:space="preserve">r example, institutions may wish to reference Athena SWAN applications, </w:t>
      </w:r>
      <w:r w:rsidR="005A011A">
        <w:t>Teaching Excellence Framework (</w:t>
      </w:r>
      <w:r w:rsidRPr="005A011A" w:rsidR="005A011A">
        <w:t>TEF</w:t>
      </w:r>
      <w:r w:rsidR="005A011A">
        <w:t>)</w:t>
      </w:r>
      <w:r w:rsidRPr="005A011A" w:rsidR="005A011A">
        <w:t xml:space="preserve"> submissions and R</w:t>
      </w:r>
      <w:r w:rsidR="005A011A">
        <w:t xml:space="preserve">esearch Excellence Framework (REF) </w:t>
      </w:r>
      <w:r w:rsidRPr="005A011A" w:rsidR="005A011A">
        <w:t xml:space="preserve">environment statements where technicians have been explicitly </w:t>
      </w:r>
      <w:r w:rsidR="005A011A">
        <w:t>mentioned.</w:t>
      </w:r>
    </w:p>
    <w:p w:rsidR="002705B3" w:rsidP="002705B3" w:rsidRDefault="002705B3" w14:paraId="185B1952" w14:textId="77777777">
      <w:r>
        <w:t xml:space="preserve">Please note that finalised Action Plans should be signed off at an institutional leadership level (e.g. Vice-Chancellor/President/Director level). </w:t>
      </w:r>
    </w:p>
    <w:p w:rsidR="00266C8A" w:rsidP="00800950" w:rsidRDefault="00266C8A" w14:paraId="4B26A785" w14:textId="77777777">
      <w:r>
        <w:t xml:space="preserve">For any additional queries, please contact </w:t>
      </w:r>
      <w:hyperlink w:history="1" r:id="rId9">
        <w:r w:rsidRPr="004A6EB0">
          <w:rPr>
            <w:rStyle w:val="Hyperlink"/>
          </w:rPr>
          <w:t>k.vere@sciencecouncil.org</w:t>
        </w:r>
      </w:hyperlink>
      <w:r>
        <w:t xml:space="preserve"> or </w:t>
      </w:r>
      <w:hyperlink w:history="1" r:id="rId10">
        <w:r w:rsidRPr="004A6EB0" w:rsidR="005A011A">
          <w:rPr>
            <w:rStyle w:val="Hyperlink"/>
          </w:rPr>
          <w:t>tracey.dickens@gatsby.org.uk</w:t>
        </w:r>
      </w:hyperlink>
      <w:r>
        <w:t>.</w:t>
      </w:r>
    </w:p>
    <w:p w:rsidR="00266C8A" w:rsidP="00DC192F" w:rsidRDefault="00266C8A" w14:paraId="24F57EEC" w14:textId="77777777">
      <w:pPr>
        <w:jc w:val="both"/>
      </w:pPr>
    </w:p>
    <w:p w:rsidR="00DC192F" w:rsidRDefault="00DC192F" w14:paraId="7912E2E5" w14:textId="79E71376"/>
    <w:p w:rsidRPr="00B86A84" w:rsidR="00B86A84" w:rsidP="00B86A84" w:rsidRDefault="00015A65" w14:paraId="6497701D" w14:textId="77777777">
      <w:pPr>
        <w:rPr>
          <w:rFonts w:cstheme="minorHAnsi"/>
          <w:b/>
          <w:sz w:val="36"/>
          <w:szCs w:val="28"/>
        </w:rPr>
      </w:pPr>
      <w:r w:rsidRPr="00B86A84">
        <w:rPr>
          <w:rFonts w:cstheme="minorHAnsi"/>
          <w:b/>
          <w:noProof/>
          <w:sz w:val="36"/>
          <w:szCs w:val="28"/>
          <w:lang w:eastAsia="en-GB"/>
        </w:rPr>
        <w:drawing>
          <wp:anchor distT="0" distB="0" distL="114300" distR="114300" simplePos="0" relativeHeight="251658240" behindDoc="0" locked="0" layoutInCell="1" allowOverlap="1" wp14:anchorId="315572D6" wp14:editId="3623550F">
            <wp:simplePos x="0" y="0"/>
            <wp:positionH relativeFrom="margin">
              <wp:posOffset>3594100</wp:posOffset>
            </wp:positionH>
            <wp:positionV relativeFrom="margin">
              <wp:posOffset>-600075</wp:posOffset>
            </wp:positionV>
            <wp:extent cx="2657475" cy="686435"/>
            <wp:effectExtent l="0" t="0" r="9525" b="0"/>
            <wp:wrapSquare wrapText="bothSides"/>
            <wp:docPr id="12" name="Picture 1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8FC40A-7166-411E-A61E-F8E1329F4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A8FC40A-7166-411E-A61E-F8E1329F4D0A}"/>
                        </a:ext>
                      </a:extLst>
                    </pic:cNvPr>
                    <pic:cNvPicPr>
                      <a:picLocks noChangeAspect="1"/>
                    </pic:cNvPicPr>
                  </pic:nvPicPr>
                  <pic:blipFill rotWithShape="1">
                    <a:blip r:embed="rId7">
                      <a:extLst>
                        <a:ext uri="{28A0092B-C50C-407E-A947-70E740481C1C}">
                          <a14:useLocalDpi xmlns:a14="http://schemas.microsoft.com/office/drawing/2010/main" val="0"/>
                        </a:ext>
                      </a:extLst>
                    </a:blip>
                    <a:srcRect l="9414" t="28640" r="14823" b="43645"/>
                    <a:stretch/>
                  </pic:blipFill>
                  <pic:spPr>
                    <a:xfrm>
                      <a:off x="0" y="0"/>
                      <a:ext cx="2657475" cy="686435"/>
                    </a:xfrm>
                    <a:prstGeom prst="rect">
                      <a:avLst/>
                    </a:prstGeom>
                  </pic:spPr>
                </pic:pic>
              </a:graphicData>
            </a:graphic>
          </wp:anchor>
        </w:drawing>
      </w:r>
      <w:r w:rsidRPr="00B86A84" w:rsidR="00B86A84">
        <w:rPr>
          <w:rFonts w:cstheme="minorHAnsi"/>
          <w:b/>
          <w:sz w:val="36"/>
          <w:szCs w:val="28"/>
        </w:rPr>
        <w:t xml:space="preserve">Technician Commitment </w:t>
      </w:r>
    </w:p>
    <w:p w:rsidR="005E2F3C" w:rsidP="00B86A84" w:rsidRDefault="00B86A84" w14:paraId="20B4EB5E" w14:textId="77777777">
      <w:pPr>
        <w:rPr>
          <w:rFonts w:cstheme="minorHAnsi"/>
          <w:b/>
          <w:sz w:val="28"/>
          <w:szCs w:val="28"/>
        </w:rPr>
      </w:pPr>
      <w:r w:rsidRPr="00B86A84">
        <w:rPr>
          <w:rFonts w:cstheme="minorHAnsi"/>
          <w:b/>
          <w:sz w:val="28"/>
          <w:szCs w:val="28"/>
        </w:rPr>
        <w:t xml:space="preserve">Evaluating Impact through Self-Assessment </w:t>
      </w:r>
      <w:r w:rsidR="00C77045">
        <w:rPr>
          <w:rFonts w:cstheme="minorHAnsi"/>
          <w:b/>
          <w:sz w:val="28"/>
          <w:szCs w:val="28"/>
        </w:rPr>
        <w:t>&amp; Future Action Plan</w:t>
      </w:r>
      <w:r w:rsidR="004A1827">
        <w:rPr>
          <w:rFonts w:cstheme="minorHAnsi"/>
          <w:b/>
          <w:sz w:val="28"/>
          <w:szCs w:val="28"/>
        </w:rPr>
        <w:t>ning</w:t>
      </w:r>
    </w:p>
    <w:p w:rsidR="005E2F3C" w:rsidP="00B86A84" w:rsidRDefault="005E2F3C" w14:paraId="57B63F07" w14:textId="77777777">
      <w:pPr>
        <w:rPr>
          <w:rFonts w:cstheme="minorHAnsi"/>
          <w:b/>
          <w:sz w:val="28"/>
          <w:szCs w:val="28"/>
        </w:rPr>
      </w:pPr>
    </w:p>
    <w:p w:rsidRPr="005E2F3C" w:rsidR="005E2F3C" w:rsidP="00B86A84" w:rsidRDefault="005E2F3C" w14:paraId="059CCD22" w14:textId="5B938236">
      <w:pPr>
        <w:rPr>
          <w:rFonts w:cstheme="minorHAnsi"/>
          <w:b/>
          <w:sz w:val="24"/>
          <w:szCs w:val="28"/>
        </w:rPr>
      </w:pPr>
      <w:r w:rsidRPr="005E2F3C">
        <w:rPr>
          <w:rFonts w:cstheme="minorHAnsi"/>
          <w:b/>
          <w:sz w:val="24"/>
          <w:szCs w:val="28"/>
        </w:rPr>
        <w:t xml:space="preserve">Organisation: </w:t>
      </w:r>
      <w:r w:rsidR="00FE53EC">
        <w:rPr>
          <w:rFonts w:cstheme="minorHAnsi"/>
          <w:b/>
          <w:sz w:val="24"/>
          <w:szCs w:val="28"/>
        </w:rPr>
        <w:t>University of Leeds</w:t>
      </w:r>
    </w:p>
    <w:p w:rsidRPr="005E2F3C" w:rsidR="00015A65" w:rsidP="00B86A84" w:rsidRDefault="005E2F3C" w14:paraId="6B763FCE" w14:textId="2E2C7745">
      <w:pPr>
        <w:rPr>
          <w:rFonts w:cstheme="minorHAnsi"/>
          <w:b/>
          <w:sz w:val="24"/>
          <w:szCs w:val="28"/>
        </w:rPr>
      </w:pPr>
      <w:r w:rsidRPr="005E2F3C">
        <w:rPr>
          <w:rFonts w:cstheme="minorHAnsi"/>
          <w:b/>
          <w:sz w:val="24"/>
          <w:szCs w:val="28"/>
        </w:rPr>
        <w:t xml:space="preserve">Name of Institutional Lead: </w:t>
      </w:r>
      <w:r w:rsidRPr="005E2F3C" w:rsidR="00C77045">
        <w:rPr>
          <w:rFonts w:cstheme="minorHAnsi"/>
          <w:b/>
          <w:sz w:val="24"/>
          <w:szCs w:val="28"/>
        </w:rPr>
        <w:t xml:space="preserve"> </w:t>
      </w:r>
      <w:r w:rsidR="00D1632F">
        <w:rPr>
          <w:rFonts w:cstheme="minorHAnsi"/>
          <w:b/>
          <w:sz w:val="24"/>
          <w:szCs w:val="28"/>
        </w:rPr>
        <w:t>Professor Helen Gleeson</w:t>
      </w:r>
    </w:p>
    <w:p w:rsidRPr="005E2F3C" w:rsidR="005E2F3C" w:rsidP="00B86A84" w:rsidRDefault="005E2F3C" w14:paraId="327AB35A" w14:textId="7B442629">
      <w:pPr>
        <w:rPr>
          <w:rFonts w:cstheme="minorHAnsi"/>
          <w:b/>
          <w:sz w:val="24"/>
          <w:szCs w:val="28"/>
        </w:rPr>
      </w:pPr>
      <w:r w:rsidRPr="005E2F3C">
        <w:rPr>
          <w:rFonts w:cstheme="minorHAnsi"/>
          <w:b/>
          <w:sz w:val="24"/>
          <w:szCs w:val="28"/>
        </w:rPr>
        <w:t xml:space="preserve">E-mail: </w:t>
      </w:r>
      <w:r w:rsidRPr="008D3AAE" w:rsidR="008D3AAE">
        <w:rPr>
          <w:rFonts w:cstheme="minorHAnsi"/>
          <w:b/>
          <w:sz w:val="24"/>
          <w:szCs w:val="28"/>
        </w:rPr>
        <w:t>H.F.Gleeson@leeds.ac.uk</w:t>
      </w:r>
    </w:p>
    <w:p w:rsidRPr="005E2F3C" w:rsidR="005E2F3C" w:rsidP="00B86A84" w:rsidRDefault="005E2F3C" w14:paraId="283F64BB" w14:textId="39D4F714">
      <w:pPr>
        <w:rPr>
          <w:rFonts w:cstheme="minorHAnsi"/>
          <w:b/>
          <w:sz w:val="24"/>
          <w:szCs w:val="28"/>
        </w:rPr>
      </w:pPr>
      <w:r w:rsidRPr="005E2F3C">
        <w:rPr>
          <w:rFonts w:cstheme="minorHAnsi"/>
          <w:b/>
          <w:sz w:val="24"/>
          <w:szCs w:val="28"/>
        </w:rPr>
        <w:t xml:space="preserve">Contact Number: </w:t>
      </w:r>
      <w:r w:rsidRPr="00962101" w:rsidR="008D3AAE">
        <w:rPr>
          <w:b/>
        </w:rPr>
        <w:t>0113-34-33863</w:t>
      </w:r>
    </w:p>
    <w:p w:rsidRPr="00C77045" w:rsidR="00015A65" w:rsidP="00366823" w:rsidRDefault="00015A65" w14:paraId="23081607" w14:textId="77777777">
      <w:pPr>
        <w:jc w:val="center"/>
        <w:rPr>
          <w:sz w:val="28"/>
          <w:szCs w:val="28"/>
        </w:rPr>
      </w:pPr>
    </w:p>
    <w:p w:rsidRPr="00CD314B" w:rsidR="00F35F25" w:rsidP="00F35F25" w:rsidRDefault="00F35F25" w14:paraId="4680F740" w14:textId="62E2283F">
      <w:pPr>
        <w:pBdr>
          <w:top w:val="single" w:color="auto" w:sz="4" w:space="1"/>
          <w:left w:val="single" w:color="auto" w:sz="4" w:space="4"/>
          <w:bottom w:val="single" w:color="auto" w:sz="4" w:space="1"/>
          <w:right w:val="single" w:color="auto" w:sz="4" w:space="4"/>
        </w:pBdr>
        <w:rPr>
          <w:b/>
          <w:sz w:val="24"/>
          <w:szCs w:val="28"/>
        </w:rPr>
      </w:pPr>
      <w:r w:rsidRPr="00CD314B">
        <w:rPr>
          <w:b/>
          <w:sz w:val="24"/>
          <w:szCs w:val="28"/>
        </w:rPr>
        <w:t xml:space="preserve">To provide some context, please provide a brief profile of your organisation (up to 250 words): </w:t>
      </w:r>
    </w:p>
    <w:p w:rsidR="00384AF7" w:rsidP="0010799C" w:rsidRDefault="00384AF7" w14:paraId="38ECFF51" w14:textId="77777777">
      <w:pPr>
        <w:rPr>
          <w:rFonts w:ascii="Arial" w:hAnsi="Arial" w:cs="Arial"/>
          <w:b/>
          <w:sz w:val="20"/>
          <w:szCs w:val="20"/>
        </w:rPr>
      </w:pPr>
    </w:p>
    <w:p w:rsidRPr="00962101" w:rsidR="0010799C" w:rsidP="0010799C" w:rsidRDefault="0010799C" w14:paraId="2F937845" w14:textId="4D25A9B9">
      <w:pPr>
        <w:rPr>
          <w:rFonts w:ascii="Arial" w:hAnsi="Arial" w:cs="Arial"/>
          <w:sz w:val="20"/>
          <w:szCs w:val="20"/>
        </w:rPr>
      </w:pPr>
      <w:r w:rsidRPr="00962101">
        <w:rPr>
          <w:rFonts w:ascii="Arial" w:hAnsi="Arial" w:cs="Arial"/>
          <w:sz w:val="20"/>
          <w:szCs w:val="20"/>
        </w:rPr>
        <w:t xml:space="preserve">The University, established in 1904, is one of the largest higher education institutions in the UK. </w:t>
      </w:r>
      <w:r w:rsidRPr="00962101" w:rsidR="005949FD">
        <w:rPr>
          <w:rFonts w:ascii="Arial" w:hAnsi="Arial" w:cs="Arial"/>
          <w:sz w:val="20"/>
          <w:szCs w:val="20"/>
        </w:rPr>
        <w:t>With 8 interdisciplinary academic faculties w</w:t>
      </w:r>
      <w:r w:rsidRPr="00962101">
        <w:rPr>
          <w:rFonts w:ascii="Arial" w:hAnsi="Arial" w:cs="Arial"/>
          <w:sz w:val="20"/>
          <w:szCs w:val="20"/>
        </w:rPr>
        <w:t xml:space="preserve">e are renowned globally for the quality of our teaching and research. The strength of our academic expertise combined with the breadth of disciplines we cover, provides a wealth of opportunities and has real impact on the world in cultural, economic &amp; societal ways. </w:t>
      </w:r>
      <w:r w:rsidRPr="00962101" w:rsidR="00B74F69">
        <w:rPr>
          <w:rFonts w:ascii="Arial" w:hAnsi="Arial" w:cs="Arial"/>
          <w:sz w:val="20"/>
          <w:szCs w:val="20"/>
        </w:rPr>
        <w:t>We</w:t>
      </w:r>
      <w:r w:rsidRPr="00962101">
        <w:rPr>
          <w:rFonts w:ascii="Arial" w:hAnsi="Arial" w:cs="Arial"/>
          <w:sz w:val="20"/>
          <w:szCs w:val="20"/>
        </w:rPr>
        <w:t xml:space="preserve"> strive to achieve academic excellence within an ethical framework informed by our values of integrity, inclusi</w:t>
      </w:r>
      <w:r w:rsidRPr="00962101" w:rsidR="00C93EFA">
        <w:rPr>
          <w:rFonts w:ascii="Arial" w:hAnsi="Arial" w:cs="Arial"/>
          <w:sz w:val="20"/>
          <w:szCs w:val="20"/>
        </w:rPr>
        <w:t>veness</w:t>
      </w:r>
      <w:r w:rsidRPr="00962101">
        <w:rPr>
          <w:rFonts w:ascii="Arial" w:hAnsi="Arial" w:cs="Arial"/>
          <w:sz w:val="20"/>
          <w:szCs w:val="20"/>
        </w:rPr>
        <w:t>, community &amp; professionalism.</w:t>
      </w:r>
    </w:p>
    <w:p w:rsidRPr="00962101" w:rsidR="0010799C" w:rsidP="0010799C" w:rsidRDefault="00B74F69" w14:paraId="20E5DDEC" w14:textId="2BB5A138">
      <w:pPr>
        <w:rPr>
          <w:rFonts w:ascii="Arial" w:hAnsi="Arial" w:cs="Arial"/>
          <w:sz w:val="20"/>
          <w:szCs w:val="20"/>
        </w:rPr>
      </w:pPr>
      <w:r w:rsidRPr="00962101">
        <w:rPr>
          <w:rFonts w:ascii="Arial" w:hAnsi="Arial" w:cs="Arial"/>
          <w:sz w:val="20"/>
          <w:szCs w:val="20"/>
        </w:rPr>
        <w:t xml:space="preserve">With </w:t>
      </w:r>
      <w:r w:rsidRPr="00962101" w:rsidR="00C3653E">
        <w:rPr>
          <w:rFonts w:ascii="Arial" w:hAnsi="Arial" w:cs="Arial"/>
          <w:sz w:val="20"/>
          <w:szCs w:val="20"/>
        </w:rPr>
        <w:t>over</w:t>
      </w:r>
      <w:r w:rsidRPr="00962101" w:rsidR="008151AA">
        <w:rPr>
          <w:rFonts w:ascii="Arial" w:hAnsi="Arial" w:cs="Arial"/>
          <w:sz w:val="20"/>
          <w:szCs w:val="20"/>
        </w:rPr>
        <w:t xml:space="preserve"> 34,</w:t>
      </w:r>
      <w:r w:rsidRPr="00962101" w:rsidR="00C3653E">
        <w:rPr>
          <w:rFonts w:ascii="Arial" w:hAnsi="Arial" w:cs="Arial"/>
          <w:sz w:val="20"/>
          <w:szCs w:val="20"/>
        </w:rPr>
        <w:t>000</w:t>
      </w:r>
      <w:r w:rsidRPr="00962101" w:rsidR="008151AA">
        <w:rPr>
          <w:rFonts w:ascii="Arial" w:hAnsi="Arial" w:cs="Arial"/>
          <w:sz w:val="20"/>
          <w:szCs w:val="20"/>
        </w:rPr>
        <w:t xml:space="preserve"> students</w:t>
      </w:r>
      <w:r w:rsidRPr="00962101" w:rsidR="00C3653E">
        <w:rPr>
          <w:rFonts w:ascii="Arial" w:hAnsi="Arial" w:cs="Arial"/>
          <w:sz w:val="20"/>
          <w:szCs w:val="20"/>
        </w:rPr>
        <w:t xml:space="preserve"> which includes</w:t>
      </w:r>
      <w:r w:rsidRPr="00962101" w:rsidR="008151AA">
        <w:rPr>
          <w:rFonts w:ascii="Arial" w:hAnsi="Arial" w:eastAsia="Times New Roman" w:cs="Arial"/>
          <w:sz w:val="20"/>
          <w:szCs w:val="20"/>
          <w:lang w:val="en" w:eastAsia="en-GB"/>
        </w:rPr>
        <w:t xml:space="preserve"> over 7,000 international students from more than 150 countries</w:t>
      </w:r>
      <w:r w:rsidRPr="00962101">
        <w:rPr>
          <w:rFonts w:ascii="Arial" w:hAnsi="Arial" w:eastAsia="Times New Roman" w:cs="Arial"/>
          <w:sz w:val="20"/>
          <w:szCs w:val="20"/>
          <w:lang w:val="en" w:eastAsia="en-GB"/>
        </w:rPr>
        <w:t xml:space="preserve"> and </w:t>
      </w:r>
      <w:r w:rsidRPr="00962101" w:rsidR="008151AA">
        <w:rPr>
          <w:rFonts w:ascii="Arial" w:hAnsi="Arial" w:eastAsia="Times New Roman" w:cs="Arial"/>
          <w:sz w:val="20"/>
          <w:szCs w:val="20"/>
          <w:lang w:val="en" w:eastAsia="en-GB"/>
        </w:rPr>
        <w:t>over 8,000 staff we are the third largest employer in Leeds</w:t>
      </w:r>
      <w:r w:rsidRPr="00962101" w:rsidR="00C3653E">
        <w:rPr>
          <w:rFonts w:ascii="Arial" w:hAnsi="Arial" w:eastAsia="Times New Roman" w:cs="Arial"/>
          <w:sz w:val="20"/>
          <w:szCs w:val="20"/>
          <w:lang w:val="en" w:eastAsia="en-GB"/>
        </w:rPr>
        <w:t xml:space="preserve"> and </w:t>
      </w:r>
      <w:r w:rsidRPr="00962101" w:rsidR="008151AA">
        <w:rPr>
          <w:rFonts w:ascii="Arial" w:hAnsi="Arial" w:cs="Arial"/>
          <w:sz w:val="20"/>
          <w:szCs w:val="20"/>
          <w:lang w:val="en" w:eastAsia="en-GB"/>
        </w:rPr>
        <w:t>the 8</w:t>
      </w:r>
      <w:r w:rsidRPr="00962101" w:rsidR="008151AA">
        <w:rPr>
          <w:rFonts w:ascii="Arial" w:hAnsi="Arial" w:cs="Arial"/>
          <w:sz w:val="20"/>
          <w:szCs w:val="20"/>
          <w:vertAlign w:val="superscript"/>
          <w:lang w:val="en" w:eastAsia="en-GB"/>
        </w:rPr>
        <w:t>th</w:t>
      </w:r>
      <w:r w:rsidRPr="00962101" w:rsidR="008151AA">
        <w:rPr>
          <w:rFonts w:ascii="Arial" w:hAnsi="Arial" w:cs="Arial"/>
          <w:sz w:val="20"/>
          <w:szCs w:val="20"/>
          <w:lang w:val="en" w:eastAsia="en-GB"/>
        </w:rPr>
        <w:t xml:space="preserve"> largest university in the UK by income (</w:t>
      </w:r>
      <w:r w:rsidRPr="00962101" w:rsidR="0010799C">
        <w:rPr>
          <w:rFonts w:ascii="Arial" w:hAnsi="Arial" w:cs="Arial"/>
          <w:sz w:val="20"/>
          <w:szCs w:val="20"/>
          <w:lang w:val="en" w:eastAsia="en-GB"/>
        </w:rPr>
        <w:t>£</w:t>
      </w:r>
      <w:r w:rsidRPr="00962101" w:rsidR="004D55BC">
        <w:rPr>
          <w:rFonts w:ascii="Arial" w:hAnsi="Arial" w:cs="Arial"/>
          <w:sz w:val="20"/>
          <w:szCs w:val="20"/>
          <w:lang w:val="en" w:eastAsia="en-GB"/>
        </w:rPr>
        <w:t>674</w:t>
      </w:r>
      <w:r w:rsidRPr="00962101" w:rsidR="0010799C">
        <w:rPr>
          <w:rFonts w:ascii="Arial" w:hAnsi="Arial" w:cs="Arial"/>
          <w:sz w:val="20"/>
          <w:szCs w:val="20"/>
          <w:lang w:val="en" w:eastAsia="en-GB"/>
        </w:rPr>
        <w:t xml:space="preserve"> million</w:t>
      </w:r>
      <w:r w:rsidRPr="00962101" w:rsidR="008151AA">
        <w:rPr>
          <w:rFonts w:ascii="Arial" w:hAnsi="Arial" w:cs="Arial"/>
          <w:sz w:val="20"/>
          <w:szCs w:val="20"/>
          <w:lang w:val="en" w:eastAsia="en-GB"/>
        </w:rPr>
        <w:t>),</w:t>
      </w:r>
      <w:r w:rsidRPr="00962101" w:rsidR="0010799C">
        <w:rPr>
          <w:rFonts w:ascii="Arial" w:hAnsi="Arial" w:cs="Arial"/>
          <w:sz w:val="20"/>
          <w:szCs w:val="20"/>
          <w:lang w:val="en" w:eastAsia="en-GB"/>
        </w:rPr>
        <w:t xml:space="preserve"> with </w:t>
      </w:r>
      <w:r w:rsidRPr="00962101" w:rsidR="0010799C">
        <w:rPr>
          <w:rFonts w:ascii="Arial" w:hAnsi="Arial" w:cs="Arial"/>
          <w:sz w:val="20"/>
          <w:szCs w:val="20"/>
        </w:rPr>
        <w:t>£131m generated from research grants and contracts.</w:t>
      </w:r>
    </w:p>
    <w:p w:rsidRPr="00962101" w:rsidR="0010799C" w:rsidP="0010799C" w:rsidRDefault="00B74F69" w14:paraId="67E90EEB" w14:textId="3E0739C1">
      <w:pPr>
        <w:rPr>
          <w:rFonts w:ascii="Arial" w:hAnsi="Arial" w:cs="Arial"/>
          <w:sz w:val="20"/>
          <w:szCs w:val="20"/>
        </w:rPr>
      </w:pPr>
      <w:r w:rsidRPr="00962101">
        <w:rPr>
          <w:rFonts w:ascii="Arial" w:hAnsi="Arial" w:cs="Arial"/>
          <w:sz w:val="20"/>
          <w:szCs w:val="20"/>
        </w:rPr>
        <w:t>We were awarded TEF Gold in 2017 for delivering “consistently outstanding teaching, learning and outcomes for our students of the highest quality in the UK.”</w:t>
      </w:r>
      <w:r w:rsidRPr="00962101" w:rsidR="0010799C">
        <w:rPr>
          <w:rFonts w:ascii="Arial" w:hAnsi="Arial" w:cs="Arial"/>
          <w:sz w:val="20"/>
          <w:szCs w:val="20"/>
        </w:rPr>
        <w:t xml:space="preserve"> </w:t>
      </w:r>
    </w:p>
    <w:p w:rsidRPr="00962101" w:rsidR="00B017CC" w:rsidP="00B017CC" w:rsidRDefault="00B017CC" w14:paraId="00542AAF" w14:textId="5059FA3D">
      <w:pPr>
        <w:rPr>
          <w:rFonts w:ascii="Arial" w:hAnsi="Arial" w:cs="Arial"/>
          <w:sz w:val="20"/>
          <w:szCs w:val="20"/>
        </w:rPr>
      </w:pPr>
      <w:r w:rsidRPr="00962101">
        <w:rPr>
          <w:rFonts w:ascii="Arial" w:hAnsi="Arial" w:cs="Arial"/>
          <w:sz w:val="20"/>
          <w:szCs w:val="20"/>
        </w:rPr>
        <w:t>Investment is happening at Leeds with</w:t>
      </w:r>
      <w:r w:rsidRPr="00962101">
        <w:rPr>
          <w:rFonts w:ascii="Arial" w:hAnsi="Arial" w:eastAsia="Times New Roman" w:cs="Arial"/>
          <w:sz w:val="20"/>
          <w:szCs w:val="20"/>
          <w:lang w:val="en" w:eastAsia="en-GB"/>
        </w:rPr>
        <w:t xml:space="preserve"> integrating and growing engineering and physical sciences expertise</w:t>
      </w:r>
      <w:r w:rsidRPr="00962101" w:rsidR="008D3AAE">
        <w:rPr>
          <w:rFonts w:ascii="Arial" w:hAnsi="Arial" w:eastAsia="Times New Roman" w:cs="Arial"/>
          <w:sz w:val="20"/>
          <w:szCs w:val="20"/>
          <w:lang w:val="en" w:eastAsia="en-GB"/>
        </w:rPr>
        <w:t xml:space="preserve"> </w:t>
      </w:r>
      <w:r w:rsidRPr="00962101" w:rsidR="00BD2438">
        <w:rPr>
          <w:rFonts w:ascii="Arial" w:hAnsi="Arial" w:eastAsia="Times New Roman" w:cs="Arial"/>
          <w:sz w:val="20"/>
          <w:szCs w:val="20"/>
          <w:lang w:val="en" w:eastAsia="en-GB"/>
        </w:rPr>
        <w:t xml:space="preserve">via the </w:t>
      </w:r>
      <w:r w:rsidRPr="00962101">
        <w:rPr>
          <w:rFonts w:ascii="Arial" w:hAnsi="Arial" w:eastAsia="Times New Roman" w:cs="Arial"/>
          <w:sz w:val="20"/>
          <w:szCs w:val="20"/>
          <w:lang w:val="en" w:eastAsia="en-GB"/>
        </w:rPr>
        <w:t>new Bragg Centre and a</w:t>
      </w:r>
      <w:r w:rsidRPr="00962101">
        <w:rPr>
          <w:rFonts w:ascii="Arial" w:hAnsi="Arial" w:cs="Arial"/>
          <w:sz w:val="20"/>
          <w:szCs w:val="20"/>
        </w:rPr>
        <w:t xml:space="preserve"> new innovation and enterprise centre (NEXUS) which will enable high growth businesses and corporate R&amp;D teams to access world class research, students, graduate talent and professional services, opening new opportunities for productivity growth.</w:t>
      </w:r>
    </w:p>
    <w:p w:rsidRPr="00962101" w:rsidR="0010799C" w:rsidP="0010799C" w:rsidRDefault="008D3AAE" w14:paraId="3B501E4A" w14:textId="28AD1D71">
      <w:pPr>
        <w:rPr>
          <w:rFonts w:ascii="Arial" w:hAnsi="Arial" w:cs="Arial"/>
          <w:sz w:val="20"/>
          <w:szCs w:val="20"/>
        </w:rPr>
      </w:pPr>
      <w:r w:rsidRPr="00962101">
        <w:rPr>
          <w:rFonts w:ascii="Arial" w:hAnsi="Arial" w:cs="Arial"/>
          <w:sz w:val="20"/>
          <w:szCs w:val="20"/>
        </w:rPr>
        <w:t>O</w:t>
      </w:r>
      <w:r w:rsidRPr="00962101" w:rsidR="00C93EFA">
        <w:rPr>
          <w:rFonts w:ascii="Arial" w:hAnsi="Arial" w:cs="Arial"/>
          <w:sz w:val="20"/>
          <w:szCs w:val="20"/>
        </w:rPr>
        <w:t>ur</w:t>
      </w:r>
      <w:r w:rsidRPr="00962101" w:rsidR="00B017CC">
        <w:rPr>
          <w:rFonts w:ascii="Arial" w:hAnsi="Arial" w:cs="Arial"/>
          <w:sz w:val="20"/>
          <w:szCs w:val="20"/>
        </w:rPr>
        <w:t xml:space="preserve"> current investment,</w:t>
      </w:r>
      <w:r w:rsidRPr="00962101" w:rsidR="00C93EFA">
        <w:rPr>
          <w:rFonts w:ascii="Arial" w:hAnsi="Arial" w:cs="Arial"/>
          <w:sz w:val="20"/>
          <w:szCs w:val="20"/>
        </w:rPr>
        <w:t xml:space="preserve"> interdisciplinary approach to research and commitment to providing outstanding education</w:t>
      </w:r>
      <w:r w:rsidRPr="00962101" w:rsidR="00BD2438">
        <w:rPr>
          <w:rFonts w:ascii="Arial" w:hAnsi="Arial" w:cs="Arial"/>
          <w:sz w:val="20"/>
          <w:szCs w:val="20"/>
        </w:rPr>
        <w:t>,</w:t>
      </w:r>
      <w:r w:rsidRPr="00962101" w:rsidR="00C93EFA">
        <w:rPr>
          <w:rFonts w:ascii="Arial" w:hAnsi="Arial" w:cs="Arial"/>
          <w:sz w:val="20"/>
          <w:szCs w:val="20"/>
        </w:rPr>
        <w:t xml:space="preserve"> creates an environment </w:t>
      </w:r>
      <w:r w:rsidRPr="00962101" w:rsidR="005949FD">
        <w:rPr>
          <w:rFonts w:ascii="Arial" w:hAnsi="Arial" w:cs="Arial"/>
          <w:sz w:val="20"/>
          <w:szCs w:val="20"/>
        </w:rPr>
        <w:t xml:space="preserve">for our technicians to support the academic strategic ambition. The </w:t>
      </w:r>
      <w:r w:rsidRPr="00962101" w:rsidR="00BD2438">
        <w:rPr>
          <w:rFonts w:ascii="Arial" w:hAnsi="Arial" w:cs="Arial"/>
          <w:sz w:val="20"/>
          <w:szCs w:val="20"/>
        </w:rPr>
        <w:t>T</w:t>
      </w:r>
      <w:r w:rsidRPr="00962101" w:rsidR="005949FD">
        <w:rPr>
          <w:rFonts w:ascii="Arial" w:hAnsi="Arial" w:cs="Arial"/>
          <w:sz w:val="20"/>
          <w:szCs w:val="20"/>
        </w:rPr>
        <w:t xml:space="preserve">echnical Services Teams are </w:t>
      </w:r>
      <w:r w:rsidRPr="00962101" w:rsidR="00C93EFA">
        <w:rPr>
          <w:rFonts w:ascii="Arial" w:hAnsi="Arial" w:cs="Arial"/>
          <w:sz w:val="20"/>
          <w:szCs w:val="20"/>
        </w:rPr>
        <w:t xml:space="preserve">critical to the achievement of the </w:t>
      </w:r>
      <w:r w:rsidRPr="00962101" w:rsidR="005949FD">
        <w:rPr>
          <w:rFonts w:ascii="Arial" w:hAnsi="Arial" w:cs="Arial"/>
          <w:sz w:val="20"/>
          <w:szCs w:val="20"/>
        </w:rPr>
        <w:t xml:space="preserve">University’s </w:t>
      </w:r>
      <w:r w:rsidRPr="00962101" w:rsidR="00C93EFA">
        <w:rPr>
          <w:rFonts w:ascii="Arial" w:hAnsi="Arial" w:cs="Arial"/>
          <w:sz w:val="20"/>
          <w:szCs w:val="20"/>
        </w:rPr>
        <w:t>success</w:t>
      </w:r>
      <w:r w:rsidRPr="00962101" w:rsidR="005949FD">
        <w:rPr>
          <w:rFonts w:ascii="Arial" w:hAnsi="Arial" w:cs="Arial"/>
          <w:sz w:val="20"/>
          <w:szCs w:val="20"/>
        </w:rPr>
        <w:t>.</w:t>
      </w:r>
    </w:p>
    <w:p w:rsidRPr="00C26694" w:rsidR="0010799C" w:rsidP="0010799C" w:rsidRDefault="0010799C" w14:paraId="7078D631" w14:textId="77777777">
      <w:pPr>
        <w:rPr>
          <w:rFonts w:ascii="Arial" w:hAnsi="Arial" w:cs="Arial"/>
          <w:sz w:val="20"/>
          <w:szCs w:val="20"/>
        </w:rPr>
      </w:pPr>
    </w:p>
    <w:p w:rsidR="0010799C" w:rsidP="0010799C" w:rsidRDefault="0010799C" w14:paraId="66BE121B" w14:textId="77777777">
      <w:pPr>
        <w:rPr>
          <w:rFonts w:ascii="Arial" w:hAnsi="Arial" w:cs="Arial"/>
          <w:b/>
          <w:sz w:val="20"/>
          <w:szCs w:val="20"/>
        </w:rPr>
      </w:pPr>
    </w:p>
    <w:p w:rsidR="00B74F69" w:rsidP="0010799C" w:rsidRDefault="00B74F69" w14:paraId="1F6BE1AB" w14:textId="77777777">
      <w:pPr>
        <w:rPr>
          <w:rFonts w:ascii="Arial" w:hAnsi="Arial" w:cs="Arial"/>
          <w:b/>
          <w:sz w:val="20"/>
          <w:szCs w:val="20"/>
        </w:rPr>
      </w:pPr>
    </w:p>
    <w:p w:rsidR="00B74F69" w:rsidP="0010799C" w:rsidRDefault="00B74F69" w14:paraId="08BD29C7" w14:textId="77777777">
      <w:pPr>
        <w:rPr>
          <w:rFonts w:ascii="Arial" w:hAnsi="Arial" w:cs="Arial"/>
          <w:b/>
          <w:sz w:val="20"/>
          <w:szCs w:val="20"/>
        </w:rPr>
      </w:pPr>
    </w:p>
    <w:p w:rsidR="0010799C" w:rsidP="0010799C" w:rsidRDefault="0010799C" w14:paraId="24C97CD6" w14:textId="77777777">
      <w:pPr>
        <w:rPr>
          <w:rFonts w:ascii="Arial" w:hAnsi="Arial" w:cs="Arial"/>
          <w:b/>
          <w:sz w:val="20"/>
          <w:szCs w:val="20"/>
        </w:rPr>
      </w:pPr>
    </w:p>
    <w:p w:rsidR="00962101" w:rsidP="0010799C" w:rsidRDefault="00962101" w14:paraId="4E44BDB8" w14:textId="77777777">
      <w:pPr>
        <w:rPr>
          <w:rFonts w:ascii="Arial" w:hAnsi="Arial" w:cs="Arial"/>
          <w:b/>
          <w:sz w:val="20"/>
          <w:szCs w:val="20"/>
        </w:rPr>
      </w:pPr>
    </w:p>
    <w:p w:rsidR="00F35F25" w:rsidP="10C84497" w:rsidRDefault="00F35F25" w14:paraId="0C980049" w14:textId="77777777">
      <w:pPr>
        <w:rPr>
          <w:sz w:val="24"/>
          <w:szCs w:val="24"/>
        </w:rPr>
      </w:pPr>
    </w:p>
    <w:p w:rsidR="10C84497" w:rsidP="10C84497" w:rsidRDefault="10C84497" w14:paraId="461E7BA5" w14:textId="5694DCD4">
      <w:pPr>
        <w:pStyle w:val="Normal"/>
        <w:rPr>
          <w:sz w:val="24"/>
          <w:szCs w:val="24"/>
        </w:rPr>
      </w:pPr>
    </w:p>
    <w:tbl>
      <w:tblPr>
        <w:tblStyle w:val="TableGrid"/>
        <w:tblW w:w="9356" w:type="dxa"/>
        <w:tblInd w:w="-147" w:type="dxa"/>
        <w:tblLook w:val="04A0" w:firstRow="1" w:lastRow="0" w:firstColumn="1" w:lastColumn="0" w:noHBand="0" w:noVBand="1"/>
      </w:tblPr>
      <w:tblGrid>
        <w:gridCol w:w="9356"/>
      </w:tblGrid>
      <w:tr w:rsidR="00F35F25" w:rsidTr="10C84497" w14:paraId="7A4F5D8C" w14:textId="77777777">
        <w:tc>
          <w:tcPr>
            <w:tcW w:w="9356" w:type="dxa"/>
            <w:tcMar/>
          </w:tcPr>
          <w:p w:rsidRPr="00CD314B" w:rsidR="00F35F25" w:rsidP="10C84497" w:rsidRDefault="00F35F25" w14:paraId="766BD2DF" w14:noSpellErr="1" w14:textId="596290C5">
            <w:pPr>
              <w:rPr>
                <w:b w:val="1"/>
                <w:bCs w:val="1"/>
                <w:sz w:val="24"/>
                <w:szCs w:val="24"/>
              </w:rPr>
            </w:pPr>
            <w:r w:rsidRPr="10C84497" w:rsidR="10C84497">
              <w:rPr>
                <w:b w:val="1"/>
                <w:bCs w:val="1"/>
                <w:sz w:val="24"/>
                <w:szCs w:val="24"/>
              </w:rPr>
              <w:t xml:space="preserve">Please tell us how your organisation defines </w:t>
            </w:r>
            <w:r w:rsidRPr="10C84497" w:rsidR="10C84497">
              <w:rPr>
                <w:b w:val="1"/>
                <w:bCs w:val="1"/>
                <w:sz w:val="24"/>
                <w:szCs w:val="24"/>
              </w:rPr>
              <w:t>its</w:t>
            </w:r>
            <w:r w:rsidRPr="10C84497" w:rsidR="10C84497">
              <w:rPr>
                <w:b w:val="1"/>
                <w:bCs w:val="1"/>
                <w:sz w:val="24"/>
                <w:szCs w:val="24"/>
              </w:rPr>
              <w:t xml:space="preserve"> technicians:</w:t>
            </w:r>
          </w:p>
          <w:p w:rsidRPr="00962101" w:rsidR="00F35F25" w:rsidP="00685728" w:rsidRDefault="00C3653E" w14:paraId="20C25986" w14:textId="17666EAC">
            <w:pPr>
              <w:rPr>
                <w:sz w:val="24"/>
              </w:rPr>
            </w:pPr>
            <w:r w:rsidRPr="00962101">
              <w:rPr>
                <w:sz w:val="24"/>
              </w:rPr>
              <w:t xml:space="preserve">At Leeds our Technicians and Technical Service Teams support and enable research and teaching activities by utilising individual and team specialist skills and knowledge. </w:t>
            </w:r>
          </w:p>
          <w:p w:rsidRPr="00962101" w:rsidR="00032527" w:rsidP="00685728" w:rsidRDefault="00032527" w14:paraId="78083A84" w14:textId="00D3B2DF">
            <w:pPr>
              <w:rPr>
                <w:sz w:val="24"/>
              </w:rPr>
            </w:pPr>
          </w:p>
          <w:p w:rsidRPr="00962101" w:rsidR="0045090F" w:rsidP="00685728" w:rsidRDefault="0045090F" w14:paraId="5481D347" w14:textId="7764A0AB">
            <w:pPr>
              <w:rPr>
                <w:sz w:val="24"/>
              </w:rPr>
            </w:pPr>
            <w:r w:rsidRPr="00962101">
              <w:rPr>
                <w:sz w:val="24"/>
              </w:rPr>
              <w:t xml:space="preserve">A Technician is a member of staff with a set of technical skills or knowledge (scientific, artistic, mechanical, etc) who supports academic research or teaching but is not generally expected to lead research or teaching. </w:t>
            </w:r>
          </w:p>
          <w:p w:rsidRPr="00962101" w:rsidR="0045090F" w:rsidP="00685728" w:rsidRDefault="0045090F" w14:paraId="5542DAE0" w14:textId="77777777">
            <w:pPr>
              <w:rPr>
                <w:sz w:val="24"/>
              </w:rPr>
            </w:pPr>
          </w:p>
          <w:p w:rsidRPr="00962101" w:rsidR="00032527" w:rsidP="00685728" w:rsidRDefault="00032527" w14:paraId="19972481" w14:textId="53DA82DA">
            <w:pPr>
              <w:rPr>
                <w:sz w:val="24"/>
              </w:rPr>
            </w:pPr>
            <w:r w:rsidRPr="00962101">
              <w:rPr>
                <w:sz w:val="24"/>
              </w:rPr>
              <w:t>Classification of the technical staff vary across the institution. This is due to the size, complexity and interdisciplinary nature of the University. The broad classifications are:</w:t>
            </w:r>
          </w:p>
          <w:p w:rsidRPr="00962101" w:rsidR="00032527" w:rsidP="00685728" w:rsidRDefault="00032527" w14:paraId="413FFADD" w14:textId="77777777">
            <w:pPr>
              <w:rPr>
                <w:sz w:val="24"/>
              </w:rPr>
            </w:pPr>
          </w:p>
          <w:p w:rsidRPr="00962101" w:rsidR="00032527" w:rsidP="00685728" w:rsidRDefault="00032527" w14:paraId="2AE33626" w14:textId="10195E90">
            <w:pPr>
              <w:rPr>
                <w:sz w:val="24"/>
              </w:rPr>
            </w:pPr>
            <w:r w:rsidRPr="00962101">
              <w:rPr>
                <w:sz w:val="24"/>
              </w:rPr>
              <w:t xml:space="preserve">Research </w:t>
            </w:r>
            <w:r w:rsidRPr="00962101" w:rsidR="00DA0F12">
              <w:rPr>
                <w:sz w:val="24"/>
              </w:rPr>
              <w:t>T</w:t>
            </w:r>
            <w:r w:rsidRPr="00962101">
              <w:rPr>
                <w:sz w:val="24"/>
              </w:rPr>
              <w:t>echnicians</w:t>
            </w:r>
          </w:p>
          <w:p w:rsidRPr="00962101" w:rsidR="00032527" w:rsidP="00685728" w:rsidRDefault="00032527" w14:paraId="67378B91" w14:textId="77777777">
            <w:pPr>
              <w:rPr>
                <w:sz w:val="24"/>
              </w:rPr>
            </w:pPr>
            <w:r w:rsidRPr="00962101">
              <w:rPr>
                <w:sz w:val="24"/>
              </w:rPr>
              <w:t>Teaching Technicians</w:t>
            </w:r>
          </w:p>
          <w:p w:rsidRPr="00962101" w:rsidR="00DA0F12" w:rsidP="00685728" w:rsidRDefault="00DA0F12" w14:paraId="66C50110" w14:textId="77777777">
            <w:pPr>
              <w:rPr>
                <w:sz w:val="24"/>
              </w:rPr>
            </w:pPr>
            <w:r w:rsidRPr="00962101">
              <w:rPr>
                <w:sz w:val="24"/>
              </w:rPr>
              <w:t>Support Technicians</w:t>
            </w:r>
          </w:p>
          <w:p w:rsidRPr="00962101" w:rsidR="00032527" w:rsidP="00685728" w:rsidRDefault="00DA0F12" w14:paraId="6EB9DB34" w14:textId="384D7F19">
            <w:pPr>
              <w:rPr>
                <w:sz w:val="24"/>
              </w:rPr>
            </w:pPr>
            <w:r w:rsidRPr="00962101">
              <w:rPr>
                <w:sz w:val="24"/>
              </w:rPr>
              <w:t>Laboratory Technicians</w:t>
            </w:r>
          </w:p>
          <w:p w:rsidRPr="00962101" w:rsidR="00DA0F12" w:rsidP="00685728" w:rsidRDefault="00DA0F12" w14:paraId="1011B22F" w14:textId="77777777">
            <w:pPr>
              <w:rPr>
                <w:sz w:val="24"/>
              </w:rPr>
            </w:pPr>
            <w:r w:rsidRPr="00962101">
              <w:rPr>
                <w:sz w:val="24"/>
              </w:rPr>
              <w:t>Workshop Technicians</w:t>
            </w:r>
          </w:p>
          <w:p w:rsidRPr="00962101" w:rsidR="00DA0F12" w:rsidP="00685728" w:rsidRDefault="00DA0F12" w14:paraId="11ED6F39" w14:textId="48198CDA">
            <w:pPr>
              <w:rPr>
                <w:sz w:val="24"/>
              </w:rPr>
            </w:pPr>
            <w:r w:rsidRPr="00962101">
              <w:rPr>
                <w:sz w:val="24"/>
              </w:rPr>
              <w:t>Studio Technicians</w:t>
            </w:r>
          </w:p>
          <w:p w:rsidRPr="00962101" w:rsidR="00022D8E" w:rsidP="00685728" w:rsidRDefault="00022D8E" w14:paraId="1A8164B1" w14:textId="77777777">
            <w:pPr>
              <w:rPr>
                <w:sz w:val="24"/>
              </w:rPr>
            </w:pPr>
            <w:r w:rsidRPr="00962101">
              <w:rPr>
                <w:sz w:val="24"/>
              </w:rPr>
              <w:t>Analytical Technicians</w:t>
            </w:r>
          </w:p>
          <w:p w:rsidR="00F35F25" w:rsidP="00685728" w:rsidRDefault="00F35F25" w14:paraId="71B2D9C6" w14:textId="77777777">
            <w:pPr>
              <w:rPr>
                <w:sz w:val="24"/>
              </w:rPr>
            </w:pPr>
          </w:p>
          <w:p w:rsidR="00F35F25" w:rsidP="00685728" w:rsidRDefault="00F35F25" w14:paraId="74B90DB2" w14:textId="3135C24D">
            <w:pPr>
              <w:rPr>
                <w:sz w:val="24"/>
              </w:rPr>
            </w:pPr>
          </w:p>
        </w:tc>
      </w:tr>
    </w:tbl>
    <w:p w:rsidR="00F35F25" w:rsidP="00685728" w:rsidRDefault="00F35F25" w14:paraId="1D88DEF1" w14:textId="77777777">
      <w:pPr>
        <w:rPr>
          <w:sz w:val="24"/>
        </w:rPr>
      </w:pPr>
    </w:p>
    <w:p w:rsidRPr="00C77045" w:rsidR="00F35F25" w:rsidP="00685728" w:rsidRDefault="00F35F25" w14:paraId="26DD8484" w14:textId="77777777">
      <w:pPr>
        <w:rPr>
          <w:sz w:val="24"/>
        </w:rPr>
      </w:pPr>
    </w:p>
    <w:p w:rsidRPr="00CD314B" w:rsidR="00773B74" w:rsidP="00DC192F" w:rsidRDefault="00773B74" w14:paraId="0AF8030E" w14:textId="2850A30D">
      <w:pPr>
        <w:pBdr>
          <w:top w:val="single" w:color="auto" w:sz="4" w:space="1"/>
          <w:left w:val="single" w:color="auto" w:sz="4" w:space="4"/>
          <w:bottom w:val="single" w:color="auto" w:sz="4" w:space="1"/>
          <w:right w:val="single" w:color="auto" w:sz="4" w:space="4"/>
        </w:pBdr>
        <w:rPr>
          <w:b/>
          <w:sz w:val="24"/>
        </w:rPr>
      </w:pPr>
      <w:r w:rsidRPr="00CD314B">
        <w:rPr>
          <w:b/>
          <w:sz w:val="24"/>
        </w:rPr>
        <w:t>How many technicians are there in your organisation? Please provide some information on where they are based</w:t>
      </w:r>
      <w:r w:rsidRPr="00CD314B" w:rsidR="00E209C3">
        <w:rPr>
          <w:b/>
          <w:sz w:val="24"/>
        </w:rPr>
        <w:t xml:space="preserve"> and/or how they are structured</w:t>
      </w:r>
      <w:r w:rsidRPr="00CD314B">
        <w:rPr>
          <w:b/>
          <w:sz w:val="24"/>
        </w:rPr>
        <w:t xml:space="preserve"> (in terms of subject/discipline/department)</w:t>
      </w:r>
      <w:r w:rsidRPr="00CD314B" w:rsidR="00C77045">
        <w:rPr>
          <w:b/>
          <w:sz w:val="24"/>
        </w:rPr>
        <w:t>:</w:t>
      </w:r>
    </w:p>
    <w:p w:rsidRPr="00962101" w:rsidR="00D2117F" w:rsidP="00DC192F" w:rsidRDefault="004D55BC" w14:paraId="67F1AB01" w14:textId="537FF508">
      <w:pPr>
        <w:pBdr>
          <w:top w:val="single" w:color="auto" w:sz="4" w:space="1"/>
          <w:left w:val="single" w:color="auto" w:sz="4" w:space="4"/>
          <w:bottom w:val="single" w:color="auto" w:sz="4" w:space="1"/>
          <w:right w:val="single" w:color="auto" w:sz="4" w:space="4"/>
        </w:pBdr>
        <w:rPr>
          <w:sz w:val="24"/>
        </w:rPr>
      </w:pPr>
      <w:r w:rsidRPr="00962101">
        <w:rPr>
          <w:sz w:val="24"/>
        </w:rPr>
        <w:t>The University of Leeds employs 4</w:t>
      </w:r>
      <w:r w:rsidRPr="00962101" w:rsidR="006D0D6F">
        <w:rPr>
          <w:sz w:val="24"/>
        </w:rPr>
        <w:t>80</w:t>
      </w:r>
      <w:r w:rsidRPr="00962101">
        <w:rPr>
          <w:sz w:val="24"/>
        </w:rPr>
        <w:t xml:space="preserve"> technicians in total </w:t>
      </w:r>
      <w:r w:rsidRPr="00962101" w:rsidR="006D0D6F">
        <w:rPr>
          <w:sz w:val="24"/>
        </w:rPr>
        <w:t xml:space="preserve">(37% female and 67% male) </w:t>
      </w:r>
      <w:r w:rsidRPr="00962101">
        <w:rPr>
          <w:sz w:val="24"/>
        </w:rPr>
        <w:t xml:space="preserve">with </w:t>
      </w:r>
      <w:r w:rsidRPr="00962101" w:rsidR="00941E2A">
        <w:rPr>
          <w:sz w:val="24"/>
        </w:rPr>
        <w:t>3</w:t>
      </w:r>
      <w:r w:rsidRPr="00962101" w:rsidR="006D0D6F">
        <w:rPr>
          <w:sz w:val="24"/>
        </w:rPr>
        <w:t>83</w:t>
      </w:r>
      <w:r w:rsidRPr="00962101" w:rsidR="00941E2A">
        <w:rPr>
          <w:sz w:val="24"/>
        </w:rPr>
        <w:t xml:space="preserve"> in</w:t>
      </w:r>
      <w:r w:rsidRPr="00962101">
        <w:rPr>
          <w:sz w:val="24"/>
        </w:rPr>
        <w:t xml:space="preserve"> academic faculties and </w:t>
      </w:r>
      <w:r w:rsidRPr="00962101" w:rsidR="00941E2A">
        <w:rPr>
          <w:sz w:val="24"/>
        </w:rPr>
        <w:t>97</w:t>
      </w:r>
      <w:r w:rsidRPr="00962101">
        <w:rPr>
          <w:sz w:val="24"/>
        </w:rPr>
        <w:t xml:space="preserve"> in Professional Services</w:t>
      </w:r>
      <w:r w:rsidRPr="00962101" w:rsidR="00C3653E">
        <w:rPr>
          <w:sz w:val="24"/>
        </w:rPr>
        <w:t xml:space="preserve">. Those Technical Service staff within Professional </w:t>
      </w:r>
      <w:r w:rsidRPr="00962101" w:rsidR="00D2117F">
        <w:rPr>
          <w:sz w:val="24"/>
        </w:rPr>
        <w:t>S</w:t>
      </w:r>
      <w:r w:rsidRPr="00962101" w:rsidR="00C3653E">
        <w:rPr>
          <w:sz w:val="24"/>
        </w:rPr>
        <w:t xml:space="preserve">ervices are predominantly part of IT Services (77 staff) </w:t>
      </w:r>
      <w:r w:rsidRPr="00962101" w:rsidR="00D2117F">
        <w:rPr>
          <w:sz w:val="24"/>
        </w:rPr>
        <w:t>with</w:t>
      </w:r>
      <w:r w:rsidRPr="00962101" w:rsidR="00C3653E">
        <w:rPr>
          <w:sz w:val="24"/>
        </w:rPr>
        <w:t xml:space="preserve"> 20 within the Facilities and Support Services Directorate. </w:t>
      </w:r>
      <w:r w:rsidRPr="00962101" w:rsidR="0045090F">
        <w:rPr>
          <w:sz w:val="24"/>
        </w:rPr>
        <w:t xml:space="preserve">For the purposes of effective and timely delivery of the Technician’s Commitment it </w:t>
      </w:r>
      <w:r w:rsidRPr="00962101" w:rsidR="00C3653E">
        <w:rPr>
          <w:sz w:val="24"/>
        </w:rPr>
        <w:t xml:space="preserve">has been decided to </w:t>
      </w:r>
      <w:r w:rsidRPr="00962101" w:rsidR="00BD2438">
        <w:rPr>
          <w:sz w:val="24"/>
        </w:rPr>
        <w:t xml:space="preserve">prioritise </w:t>
      </w:r>
      <w:r w:rsidRPr="00962101" w:rsidR="00C3653E">
        <w:rPr>
          <w:sz w:val="24"/>
        </w:rPr>
        <w:t>technical service staff in faculties initially</w:t>
      </w:r>
      <w:r w:rsidRPr="00962101" w:rsidR="00D2117F">
        <w:rPr>
          <w:sz w:val="24"/>
        </w:rPr>
        <w:t>.</w:t>
      </w:r>
    </w:p>
    <w:p w:rsidRPr="00962101" w:rsidR="00DA0F12" w:rsidP="00DC192F" w:rsidRDefault="00DA0F12" w14:paraId="264244A7" w14:textId="4A4D3D8C">
      <w:pPr>
        <w:pBdr>
          <w:top w:val="single" w:color="auto" w:sz="4" w:space="1"/>
          <w:left w:val="single" w:color="auto" w:sz="4" w:space="4"/>
          <w:bottom w:val="single" w:color="auto" w:sz="4" w:space="1"/>
          <w:right w:val="single" w:color="auto" w:sz="4" w:space="4"/>
        </w:pBdr>
        <w:rPr>
          <w:sz w:val="24"/>
        </w:rPr>
      </w:pPr>
      <w:r w:rsidRPr="00962101">
        <w:rPr>
          <w:sz w:val="24"/>
        </w:rPr>
        <w:t>The Technician Commitment Committee is in the process of investigating and progressing</w:t>
      </w:r>
      <w:r w:rsidRPr="00962101" w:rsidR="00384AF7">
        <w:rPr>
          <w:sz w:val="24"/>
        </w:rPr>
        <w:t xml:space="preserve"> apprenticeships</w:t>
      </w:r>
      <w:r w:rsidRPr="00962101">
        <w:rPr>
          <w:sz w:val="24"/>
        </w:rPr>
        <w:t xml:space="preserve"> </w:t>
      </w:r>
      <w:r w:rsidRPr="00962101" w:rsidR="00542EF5">
        <w:rPr>
          <w:sz w:val="24"/>
        </w:rPr>
        <w:t>with academic faculties</w:t>
      </w:r>
      <w:r w:rsidRPr="00962101" w:rsidR="00384AF7">
        <w:rPr>
          <w:sz w:val="24"/>
        </w:rPr>
        <w:t>.</w:t>
      </w:r>
      <w:r w:rsidRPr="00962101" w:rsidR="00542EF5">
        <w:rPr>
          <w:sz w:val="24"/>
        </w:rPr>
        <w:t xml:space="preserve"> Currently we have 4 Apprenticeships and 2 Graduate Technicians across the institution. </w:t>
      </w:r>
    </w:p>
    <w:p w:rsidRPr="00962101" w:rsidR="004D55BC" w:rsidP="00DC192F" w:rsidRDefault="00941E2A" w14:paraId="2AB74789" w14:textId="3D3A39CD">
      <w:pPr>
        <w:pBdr>
          <w:top w:val="single" w:color="auto" w:sz="4" w:space="1"/>
          <w:left w:val="single" w:color="auto" w:sz="4" w:space="4"/>
          <w:bottom w:val="single" w:color="auto" w:sz="4" w:space="1"/>
          <w:right w:val="single" w:color="auto" w:sz="4" w:space="4"/>
        </w:pBdr>
        <w:rPr>
          <w:sz w:val="24"/>
          <w:u w:val="single"/>
        </w:rPr>
      </w:pPr>
      <w:r w:rsidRPr="00962101">
        <w:rPr>
          <w:sz w:val="24"/>
          <w:u w:val="single"/>
        </w:rPr>
        <w:t>Academic Faculties</w:t>
      </w:r>
    </w:p>
    <w:p w:rsidRPr="00962101" w:rsidR="00E209C3" w:rsidP="00DC192F" w:rsidRDefault="0013295A" w14:paraId="1753E547" w14:textId="6EE80FB1">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The </w:t>
      </w:r>
      <w:r w:rsidRPr="00962101" w:rsidR="00923A05">
        <w:rPr>
          <w:sz w:val="24"/>
          <w:szCs w:val="24"/>
        </w:rPr>
        <w:t>Faculty of Biological Sciences</w:t>
      </w:r>
      <w:r w:rsidRPr="00962101" w:rsidR="0006627F">
        <w:rPr>
          <w:sz w:val="24"/>
          <w:szCs w:val="24"/>
        </w:rPr>
        <w:t xml:space="preserve"> (FBS)</w:t>
      </w:r>
      <w:r w:rsidRPr="00962101" w:rsidR="00923A05">
        <w:rPr>
          <w:sz w:val="24"/>
          <w:szCs w:val="24"/>
        </w:rPr>
        <w:t xml:space="preserve"> has a Technical Service team of </w:t>
      </w:r>
      <w:r w:rsidRPr="00962101" w:rsidR="006D0D6F">
        <w:rPr>
          <w:sz w:val="24"/>
          <w:szCs w:val="24"/>
        </w:rPr>
        <w:t>83</w:t>
      </w:r>
      <w:r w:rsidRPr="00962101" w:rsidR="00941E2A">
        <w:rPr>
          <w:sz w:val="24"/>
          <w:szCs w:val="24"/>
        </w:rPr>
        <w:t xml:space="preserve"> staff</w:t>
      </w:r>
      <w:r w:rsidRPr="00962101" w:rsidR="00923A05">
        <w:rPr>
          <w:sz w:val="24"/>
          <w:szCs w:val="24"/>
        </w:rPr>
        <w:t xml:space="preserve"> comprising</w:t>
      </w:r>
      <w:r w:rsidRPr="00962101" w:rsidR="00941E2A">
        <w:rPr>
          <w:sz w:val="24"/>
          <w:szCs w:val="24"/>
        </w:rPr>
        <w:t xml:space="preserve"> of </w:t>
      </w:r>
      <w:r w:rsidRPr="00962101" w:rsidR="00923A05">
        <w:rPr>
          <w:sz w:val="24"/>
          <w:szCs w:val="24"/>
        </w:rPr>
        <w:t xml:space="preserve">service leads (Managers), Teaching Technicians, Research Technicians and Technical Support staff across a range of grades from 2 – 8. </w:t>
      </w:r>
      <w:r w:rsidRPr="00962101" w:rsidR="00941E2A">
        <w:rPr>
          <w:sz w:val="24"/>
          <w:szCs w:val="24"/>
        </w:rPr>
        <w:t>E</w:t>
      </w:r>
      <w:r w:rsidRPr="00962101">
        <w:rPr>
          <w:sz w:val="24"/>
          <w:szCs w:val="24"/>
        </w:rPr>
        <w:t>quipment specialists and H&amp;S specialists are</w:t>
      </w:r>
      <w:r w:rsidRPr="00962101" w:rsidR="00941E2A">
        <w:rPr>
          <w:sz w:val="24"/>
          <w:szCs w:val="24"/>
        </w:rPr>
        <w:t xml:space="preserve"> included in this figure</w:t>
      </w:r>
      <w:r w:rsidRPr="00962101">
        <w:rPr>
          <w:sz w:val="24"/>
          <w:szCs w:val="24"/>
        </w:rPr>
        <w:t xml:space="preserve">. </w:t>
      </w:r>
    </w:p>
    <w:p w:rsidRPr="00962101" w:rsidR="009E6FEE" w:rsidP="009E6FEE" w:rsidRDefault="009E6FEE" w14:paraId="0FCD0265" w14:textId="57AEE6B2">
      <w:pPr>
        <w:pBdr>
          <w:top w:val="single" w:color="auto" w:sz="4" w:space="1"/>
          <w:left w:val="single" w:color="auto" w:sz="4" w:space="4"/>
          <w:bottom w:val="single" w:color="auto" w:sz="4" w:space="1"/>
          <w:right w:val="single" w:color="auto" w:sz="4" w:space="4"/>
        </w:pBdr>
        <w:rPr>
          <w:sz w:val="24"/>
          <w:szCs w:val="24"/>
        </w:rPr>
      </w:pPr>
      <w:r w:rsidRPr="00962101">
        <w:rPr>
          <w:sz w:val="24"/>
          <w:szCs w:val="24"/>
        </w:rPr>
        <w:lastRenderedPageBreak/>
        <w:t xml:space="preserve">The Faculty of Earth and Environment has a Technical Service team of 27 staff, 1 </w:t>
      </w:r>
      <w:r w:rsidRPr="00962101" w:rsidR="00ED31E6">
        <w:rPr>
          <w:sz w:val="24"/>
          <w:szCs w:val="24"/>
        </w:rPr>
        <w:t xml:space="preserve">technical manager </w:t>
      </w:r>
      <w:r w:rsidRPr="00962101">
        <w:rPr>
          <w:sz w:val="24"/>
          <w:szCs w:val="24"/>
        </w:rPr>
        <w:t>at faculty level, 18 in the School of Earth and Environment and 8 in the School of Geography.</w:t>
      </w:r>
    </w:p>
    <w:p w:rsidRPr="00962101" w:rsidR="004D55BC" w:rsidP="00DC192F" w:rsidRDefault="004D55BC" w14:paraId="0771997E" w14:textId="13523BA5">
      <w:pPr>
        <w:pBdr>
          <w:top w:val="single" w:color="auto" w:sz="4" w:space="1"/>
          <w:left w:val="single" w:color="auto" w:sz="4" w:space="4"/>
          <w:bottom w:val="single" w:color="auto" w:sz="4" w:space="1"/>
          <w:right w:val="single" w:color="auto" w:sz="4" w:space="4"/>
        </w:pBdr>
        <w:rPr>
          <w:sz w:val="24"/>
          <w:szCs w:val="24"/>
        </w:rPr>
      </w:pPr>
      <w:r w:rsidRPr="00962101">
        <w:rPr>
          <w:sz w:val="24"/>
          <w:szCs w:val="24"/>
        </w:rPr>
        <w:t>The Faculty of Mathematics and Physical Sciences</w:t>
      </w:r>
      <w:r w:rsidRPr="00962101" w:rsidR="00941E2A">
        <w:rPr>
          <w:sz w:val="24"/>
          <w:szCs w:val="24"/>
        </w:rPr>
        <w:t xml:space="preserve"> (MaPS)</w:t>
      </w:r>
      <w:r w:rsidRPr="00962101">
        <w:rPr>
          <w:sz w:val="24"/>
          <w:szCs w:val="24"/>
        </w:rPr>
        <w:t xml:space="preserve"> has a Technical Services </w:t>
      </w:r>
      <w:r w:rsidRPr="00962101" w:rsidR="00941E2A">
        <w:rPr>
          <w:sz w:val="24"/>
          <w:szCs w:val="24"/>
        </w:rPr>
        <w:t>t</w:t>
      </w:r>
      <w:r w:rsidRPr="00962101">
        <w:rPr>
          <w:sz w:val="24"/>
          <w:szCs w:val="24"/>
        </w:rPr>
        <w:t xml:space="preserve">eam of </w:t>
      </w:r>
      <w:r w:rsidRPr="00962101" w:rsidR="00941E2A">
        <w:rPr>
          <w:sz w:val="24"/>
          <w:szCs w:val="24"/>
        </w:rPr>
        <w:t>3</w:t>
      </w:r>
      <w:r w:rsidRPr="00962101" w:rsidR="006D0D6F">
        <w:rPr>
          <w:sz w:val="24"/>
          <w:szCs w:val="24"/>
        </w:rPr>
        <w:t>7</w:t>
      </w:r>
      <w:r w:rsidRPr="00962101" w:rsidR="00941E2A">
        <w:rPr>
          <w:sz w:val="24"/>
          <w:szCs w:val="24"/>
        </w:rPr>
        <w:t xml:space="preserve"> staff, 1</w:t>
      </w:r>
      <w:r w:rsidRPr="00962101" w:rsidR="006D0D6F">
        <w:rPr>
          <w:sz w:val="24"/>
          <w:szCs w:val="24"/>
        </w:rPr>
        <w:t>4</w:t>
      </w:r>
      <w:r w:rsidRPr="00962101" w:rsidR="00941E2A">
        <w:rPr>
          <w:sz w:val="24"/>
          <w:szCs w:val="24"/>
        </w:rPr>
        <w:t xml:space="preserve"> in the School of Chemistry, 9 in Food Science and Nutrition and 14 (inc 1 Apprentice) in the School of Physics and Astronomy.</w:t>
      </w:r>
      <w:r w:rsidRPr="00962101" w:rsidR="00385E7C">
        <w:rPr>
          <w:sz w:val="24"/>
          <w:szCs w:val="24"/>
        </w:rPr>
        <w:t xml:space="preserve"> Although the technical service teams are located at school level without a dedicated Technical Services Manager, the technical staff in Physics and Chemistry have developed strong links with the technical service teams in the Faculty of Engineering. These links and ways of working will continue to develop</w:t>
      </w:r>
      <w:r w:rsidRPr="00962101" w:rsidR="009E6FEE">
        <w:rPr>
          <w:sz w:val="24"/>
          <w:szCs w:val="24"/>
        </w:rPr>
        <w:t xml:space="preserve"> with the integration and growth in Engineering and Physical Sciences and the new investments </w:t>
      </w:r>
      <w:r w:rsidRPr="00962101" w:rsidR="00436AC3">
        <w:rPr>
          <w:sz w:val="24"/>
          <w:szCs w:val="24"/>
        </w:rPr>
        <w:t>(new</w:t>
      </w:r>
      <w:r w:rsidRPr="00962101" w:rsidR="009E6FEE">
        <w:rPr>
          <w:sz w:val="24"/>
          <w:szCs w:val="24"/>
        </w:rPr>
        <w:t xml:space="preserve"> Bragg Centre and a</w:t>
      </w:r>
      <w:r w:rsidRPr="00962101" w:rsidR="003305FE">
        <w:rPr>
          <w:sz w:val="24"/>
          <w:szCs w:val="24"/>
        </w:rPr>
        <w:t>n I</w:t>
      </w:r>
      <w:r w:rsidRPr="00962101" w:rsidR="009E6FEE">
        <w:rPr>
          <w:sz w:val="24"/>
          <w:szCs w:val="24"/>
        </w:rPr>
        <w:t xml:space="preserve">nnovation and </w:t>
      </w:r>
      <w:r w:rsidRPr="00962101" w:rsidR="003305FE">
        <w:rPr>
          <w:sz w:val="24"/>
          <w:szCs w:val="24"/>
        </w:rPr>
        <w:t>E</w:t>
      </w:r>
      <w:r w:rsidRPr="00962101" w:rsidR="009E6FEE">
        <w:rPr>
          <w:sz w:val="24"/>
          <w:szCs w:val="24"/>
        </w:rPr>
        <w:t xml:space="preserve">nterprise </w:t>
      </w:r>
      <w:r w:rsidRPr="00962101" w:rsidR="003305FE">
        <w:rPr>
          <w:sz w:val="24"/>
          <w:szCs w:val="24"/>
        </w:rPr>
        <w:t>C</w:t>
      </w:r>
      <w:r w:rsidRPr="00962101" w:rsidR="009E6FEE">
        <w:rPr>
          <w:sz w:val="24"/>
          <w:szCs w:val="24"/>
        </w:rPr>
        <w:t>entre – NEXUS).</w:t>
      </w:r>
    </w:p>
    <w:p w:rsidRPr="00962101" w:rsidR="00941E2A" w:rsidP="00DC192F" w:rsidRDefault="00941E2A" w14:paraId="38F5AEC3" w14:textId="52E3DAAC">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The Faculty of Engineering has a Technical Services team of 80 staff, 15 (inc </w:t>
      </w:r>
      <w:r w:rsidRPr="00962101" w:rsidR="00B75B87">
        <w:rPr>
          <w:sz w:val="24"/>
          <w:szCs w:val="24"/>
        </w:rPr>
        <w:t>3</w:t>
      </w:r>
      <w:r w:rsidRPr="00962101">
        <w:rPr>
          <w:sz w:val="24"/>
          <w:szCs w:val="24"/>
        </w:rPr>
        <w:t xml:space="preserve"> Apprentices) in the School of Mechanical Engineering, 20 in the School of Chemical Engineering, 14 in the School of Civil Engineering, 22 technical staff in Faculty Engineering Services, 7 in </w:t>
      </w:r>
      <w:r w:rsidRPr="00962101" w:rsidR="00ED31E6">
        <w:rPr>
          <w:sz w:val="24"/>
          <w:szCs w:val="24"/>
        </w:rPr>
        <w:t xml:space="preserve">the Institute of Medical and Biological </w:t>
      </w:r>
      <w:r w:rsidRPr="00962101" w:rsidR="00436AC3">
        <w:rPr>
          <w:sz w:val="24"/>
          <w:szCs w:val="24"/>
        </w:rPr>
        <w:t>Engineering</w:t>
      </w:r>
      <w:r w:rsidRPr="00962101" w:rsidR="00ED31E6">
        <w:rPr>
          <w:sz w:val="24"/>
          <w:szCs w:val="24"/>
        </w:rPr>
        <w:t xml:space="preserve"> (</w:t>
      </w:r>
      <w:r w:rsidRPr="00962101">
        <w:rPr>
          <w:sz w:val="24"/>
          <w:szCs w:val="24"/>
        </w:rPr>
        <w:t>iMBE</w:t>
      </w:r>
      <w:r w:rsidRPr="00962101" w:rsidR="00ED31E6">
        <w:rPr>
          <w:sz w:val="24"/>
          <w:szCs w:val="24"/>
        </w:rPr>
        <w:t>)</w:t>
      </w:r>
      <w:r w:rsidRPr="00962101">
        <w:rPr>
          <w:sz w:val="24"/>
          <w:szCs w:val="24"/>
        </w:rPr>
        <w:t xml:space="preserve"> and 2 in Robotics Technical Services</w:t>
      </w:r>
      <w:r w:rsidRPr="00962101" w:rsidR="00E96B07">
        <w:rPr>
          <w:sz w:val="24"/>
          <w:szCs w:val="24"/>
        </w:rPr>
        <w:t>. The team is led by a Senior Technical Services Manager</w:t>
      </w:r>
      <w:r w:rsidRPr="00962101" w:rsidR="006D0D6F">
        <w:rPr>
          <w:sz w:val="24"/>
          <w:szCs w:val="24"/>
        </w:rPr>
        <w:t xml:space="preserve"> (line managed by the Faculty Dean)</w:t>
      </w:r>
      <w:r w:rsidRPr="00962101" w:rsidR="00E96B07">
        <w:rPr>
          <w:sz w:val="24"/>
          <w:szCs w:val="24"/>
        </w:rPr>
        <w:t>, w</w:t>
      </w:r>
      <w:r w:rsidRPr="00962101" w:rsidR="006D0D6F">
        <w:rPr>
          <w:sz w:val="24"/>
          <w:szCs w:val="24"/>
        </w:rPr>
        <w:t>ith 4 Service leads (Managers).</w:t>
      </w:r>
      <w:r w:rsidRPr="00962101" w:rsidR="00E96B07">
        <w:rPr>
          <w:sz w:val="24"/>
          <w:szCs w:val="24"/>
        </w:rPr>
        <w:t xml:space="preserve">  </w:t>
      </w:r>
      <w:r w:rsidRPr="00962101">
        <w:rPr>
          <w:sz w:val="24"/>
          <w:szCs w:val="24"/>
        </w:rPr>
        <w:t xml:space="preserve"> </w:t>
      </w:r>
    </w:p>
    <w:p w:rsidRPr="00962101" w:rsidR="00A637F9" w:rsidP="00DC192F" w:rsidRDefault="00A637F9" w14:paraId="0ECCEAE2" w14:textId="35054060">
      <w:pPr>
        <w:pBdr>
          <w:top w:val="single" w:color="auto" w:sz="4" w:space="1"/>
          <w:left w:val="single" w:color="auto" w:sz="4" w:space="4"/>
          <w:bottom w:val="single" w:color="auto" w:sz="4" w:space="1"/>
          <w:right w:val="single" w:color="auto" w:sz="4" w:space="4"/>
        </w:pBdr>
        <w:rPr>
          <w:sz w:val="24"/>
          <w:szCs w:val="24"/>
        </w:rPr>
      </w:pPr>
      <w:r w:rsidRPr="00962101">
        <w:rPr>
          <w:sz w:val="24"/>
          <w:szCs w:val="24"/>
        </w:rPr>
        <w:t>Faculty of Medicine and Health</w:t>
      </w:r>
      <w:r w:rsidRPr="00962101" w:rsidR="00C3653E">
        <w:rPr>
          <w:sz w:val="24"/>
          <w:szCs w:val="24"/>
        </w:rPr>
        <w:t>, our largest</w:t>
      </w:r>
      <w:r w:rsidRPr="00962101" w:rsidR="00E96B07">
        <w:rPr>
          <w:sz w:val="24"/>
          <w:szCs w:val="24"/>
        </w:rPr>
        <w:t xml:space="preserve"> and most complex</w:t>
      </w:r>
      <w:r w:rsidRPr="00962101" w:rsidR="00C3653E">
        <w:rPr>
          <w:sz w:val="24"/>
          <w:szCs w:val="24"/>
        </w:rPr>
        <w:t xml:space="preserve"> Faculty</w:t>
      </w:r>
      <w:r w:rsidRPr="00962101">
        <w:rPr>
          <w:sz w:val="24"/>
          <w:szCs w:val="24"/>
        </w:rPr>
        <w:t xml:space="preserve"> has a technical Services Team</w:t>
      </w:r>
      <w:r w:rsidRPr="00962101" w:rsidR="00C3653E">
        <w:rPr>
          <w:sz w:val="24"/>
          <w:szCs w:val="24"/>
        </w:rPr>
        <w:t xml:space="preserve"> of 126</w:t>
      </w:r>
      <w:r w:rsidRPr="00962101">
        <w:rPr>
          <w:sz w:val="24"/>
          <w:szCs w:val="24"/>
        </w:rPr>
        <w:t xml:space="preserve"> across the University and St James’s Teaching Hospital</w:t>
      </w:r>
      <w:r w:rsidRPr="00962101" w:rsidR="00ED31E6">
        <w:rPr>
          <w:sz w:val="24"/>
          <w:szCs w:val="24"/>
        </w:rPr>
        <w:t xml:space="preserve"> sites</w:t>
      </w:r>
      <w:r w:rsidRPr="00962101">
        <w:rPr>
          <w:sz w:val="24"/>
          <w:szCs w:val="24"/>
        </w:rPr>
        <w:t>. 8 Technical staff work at St James’s campus, 20 in the Faculty Technical Service Team, 1 in the School of Healthcare, 12 in the Institute of Biomedical and Clinical Trails, 7 in SCIF, 8 in the Institute of Rheumatology and Musculoskeletal, 27 in the Leeds Institute of Cardiovascular and Metabolic</w:t>
      </w:r>
      <w:r w:rsidRPr="007025F1">
        <w:rPr>
          <w:b/>
          <w:sz w:val="24"/>
          <w:szCs w:val="24"/>
        </w:rPr>
        <w:t xml:space="preserve"> </w:t>
      </w:r>
      <w:r w:rsidRPr="00962101">
        <w:rPr>
          <w:sz w:val="24"/>
          <w:szCs w:val="24"/>
        </w:rPr>
        <w:t>Medicine, 5 in the School of Dentistry and 38 in the Institute of Cancer and Patholog</w:t>
      </w:r>
      <w:r w:rsidRPr="00962101" w:rsidR="007025F1">
        <w:rPr>
          <w:sz w:val="24"/>
          <w:szCs w:val="24"/>
        </w:rPr>
        <w:t>y</w:t>
      </w:r>
    </w:p>
    <w:p w:rsidRPr="00962101" w:rsidR="004A1827" w:rsidP="00DC192F" w:rsidRDefault="00A637F9" w14:paraId="363CF767" w14:textId="408AE7B2">
      <w:pPr>
        <w:pBdr>
          <w:top w:val="single" w:color="auto" w:sz="4" w:space="1"/>
          <w:left w:val="single" w:color="auto" w:sz="4" w:space="4"/>
          <w:bottom w:val="single" w:color="auto" w:sz="4" w:space="1"/>
          <w:right w:val="single" w:color="auto" w:sz="4" w:space="4"/>
        </w:pBdr>
        <w:rPr>
          <w:sz w:val="24"/>
          <w:szCs w:val="24"/>
        </w:rPr>
      </w:pPr>
      <w:r w:rsidRPr="00962101">
        <w:rPr>
          <w:sz w:val="24"/>
          <w:szCs w:val="24"/>
        </w:rPr>
        <w:t>The Faculty of Arts, Humanities and Culture (AHC)</w:t>
      </w:r>
      <w:r w:rsidRPr="00962101" w:rsidR="004D56C2">
        <w:rPr>
          <w:sz w:val="24"/>
          <w:szCs w:val="24"/>
        </w:rPr>
        <w:t xml:space="preserve"> has a technical service team of 30. There are 6 (inc 2 Graduate Technicians) in the School of Fine Art, History of Art and Cultural Studies, 5 in the School of Performance and cultural Industries, 10 in the School of Design, 2 in the School of English (Theatre Workshop), 1 in the School of Languages, Cultures and Society (Language Centre), 2 in Media and Communications and 4 in the School of Music. The Faculty is newly formed following the integration of the former Facult</w:t>
      </w:r>
      <w:r w:rsidRPr="00962101" w:rsidR="00385E7C">
        <w:rPr>
          <w:sz w:val="24"/>
          <w:szCs w:val="24"/>
        </w:rPr>
        <w:t>ies</w:t>
      </w:r>
      <w:r w:rsidRPr="00962101" w:rsidR="004D56C2">
        <w:rPr>
          <w:sz w:val="24"/>
          <w:szCs w:val="24"/>
        </w:rPr>
        <w:t xml:space="preserve"> of Arts and Performance</w:t>
      </w:r>
      <w:r w:rsidRPr="00962101" w:rsidR="00385E7C">
        <w:rPr>
          <w:sz w:val="24"/>
          <w:szCs w:val="24"/>
        </w:rPr>
        <w:t>, Visual Arts and Communications (PVAC). As part of the Faculty integration it was agreed to realign the technical services teams in such a way to best match service requirements, promote a one team ethos</w:t>
      </w:r>
      <w:r w:rsidRPr="00962101" w:rsidR="00ED31E6">
        <w:rPr>
          <w:sz w:val="24"/>
          <w:szCs w:val="24"/>
        </w:rPr>
        <w:t>,</w:t>
      </w:r>
      <w:r w:rsidRPr="00962101" w:rsidR="00385E7C">
        <w:rPr>
          <w:sz w:val="24"/>
          <w:szCs w:val="24"/>
        </w:rPr>
        <w:t xml:space="preserve"> </w:t>
      </w:r>
      <w:r w:rsidRPr="00962101" w:rsidR="00ED31E6">
        <w:rPr>
          <w:sz w:val="24"/>
          <w:szCs w:val="24"/>
        </w:rPr>
        <w:t>and</w:t>
      </w:r>
      <w:r w:rsidRPr="00962101" w:rsidR="00385E7C">
        <w:rPr>
          <w:sz w:val="24"/>
          <w:szCs w:val="24"/>
        </w:rPr>
        <w:t xml:space="preserve"> provide </w:t>
      </w:r>
      <w:r w:rsidRPr="00962101" w:rsidR="00ED31E6">
        <w:rPr>
          <w:sz w:val="24"/>
          <w:szCs w:val="24"/>
        </w:rPr>
        <w:t xml:space="preserve">greater </w:t>
      </w:r>
      <w:r w:rsidRPr="00962101" w:rsidR="00385E7C">
        <w:rPr>
          <w:sz w:val="24"/>
          <w:szCs w:val="24"/>
        </w:rPr>
        <w:t xml:space="preserve">opportunities for staff development and career progression. This work started in early 2017 and </w:t>
      </w:r>
      <w:r w:rsidRPr="00962101" w:rsidR="00ED31E6">
        <w:rPr>
          <w:sz w:val="24"/>
          <w:szCs w:val="24"/>
        </w:rPr>
        <w:t>continues to progress</w:t>
      </w:r>
      <w:r w:rsidRPr="00962101" w:rsidR="00385E7C">
        <w:rPr>
          <w:sz w:val="24"/>
          <w:szCs w:val="24"/>
        </w:rPr>
        <w:t>.</w:t>
      </w:r>
    </w:p>
    <w:p w:rsidR="004A1827" w:rsidP="00DC192F" w:rsidRDefault="004A1827" w14:paraId="5BEBF558" w14:textId="77777777">
      <w:pPr>
        <w:pBdr>
          <w:top w:val="single" w:color="auto" w:sz="4" w:space="1"/>
          <w:left w:val="single" w:color="auto" w:sz="4" w:space="4"/>
          <w:bottom w:val="single" w:color="auto" w:sz="4" w:space="1"/>
          <w:right w:val="single" w:color="auto" w:sz="4" w:space="4"/>
        </w:pBdr>
      </w:pPr>
    </w:p>
    <w:p w:rsidR="00C77045" w:rsidP="00DC192F" w:rsidRDefault="00DC192F" w14:paraId="06302363" w14:textId="77777777">
      <w:pPr>
        <w:pBdr>
          <w:top w:val="single" w:color="auto" w:sz="4" w:space="1"/>
          <w:left w:val="single" w:color="auto" w:sz="4" w:space="4"/>
          <w:bottom w:val="single" w:color="auto" w:sz="4" w:space="1"/>
          <w:right w:val="single" w:color="auto" w:sz="4" w:space="4"/>
        </w:pBdr>
      </w:pPr>
      <w:r>
        <w:tab/>
      </w:r>
      <w:r>
        <w:tab/>
      </w:r>
      <w:r>
        <w:tab/>
      </w:r>
    </w:p>
    <w:p w:rsidR="00E209C3" w:rsidP="003237EA" w:rsidRDefault="00E209C3" w14:paraId="181CA02F" w14:textId="77777777"/>
    <w:p w:rsidRPr="00CD314B" w:rsidR="00E209C3" w:rsidP="004D55BC" w:rsidRDefault="00E209C3" w14:paraId="514C4B2F" w14:textId="30024B8E">
      <w:pPr>
        <w:pBdr>
          <w:top w:val="single" w:color="auto" w:sz="4" w:space="1"/>
          <w:left w:val="single" w:color="auto" w:sz="4" w:space="4"/>
          <w:bottom w:val="single" w:color="auto" w:sz="4" w:space="31"/>
          <w:right w:val="single" w:color="auto" w:sz="4" w:space="4"/>
        </w:pBdr>
        <w:rPr>
          <w:b/>
          <w:sz w:val="24"/>
          <w:szCs w:val="24"/>
        </w:rPr>
      </w:pPr>
      <w:r w:rsidRPr="00CD314B">
        <w:rPr>
          <w:b/>
          <w:sz w:val="24"/>
          <w:szCs w:val="24"/>
        </w:rPr>
        <w:lastRenderedPageBreak/>
        <w:t>Please provide details of initiatives/programmes/activities that were already in place for the technical community within your organisation prior to becoming a signatory of the Technician Commitment:</w:t>
      </w:r>
      <w:r w:rsidRPr="00CD314B" w:rsidR="0037334B">
        <w:rPr>
          <w:b/>
          <w:sz w:val="24"/>
          <w:szCs w:val="24"/>
        </w:rPr>
        <w:t xml:space="preserve"> </w:t>
      </w:r>
    </w:p>
    <w:p w:rsidRPr="00962101" w:rsidR="006F5301" w:rsidP="004D55BC" w:rsidRDefault="006F5301" w14:paraId="0133072B" w14:textId="178E3D29">
      <w:pPr>
        <w:pBdr>
          <w:top w:val="single" w:color="auto" w:sz="4" w:space="1"/>
          <w:left w:val="single" w:color="auto" w:sz="4" w:space="4"/>
          <w:bottom w:val="single" w:color="auto" w:sz="4" w:space="31"/>
          <w:right w:val="single" w:color="auto" w:sz="4" w:space="4"/>
        </w:pBdr>
        <w:rPr>
          <w:sz w:val="24"/>
          <w:szCs w:val="24"/>
        </w:rPr>
      </w:pPr>
      <w:r w:rsidRPr="00962101">
        <w:rPr>
          <w:sz w:val="24"/>
          <w:szCs w:val="24"/>
          <w:u w:val="single"/>
        </w:rPr>
        <w:t>The Technicians Network</w:t>
      </w:r>
      <w:r w:rsidRPr="00962101">
        <w:rPr>
          <w:sz w:val="24"/>
          <w:szCs w:val="24"/>
        </w:rPr>
        <w:t xml:space="preserve"> was established in 2013 to raise the profile of technicians across the University. The Network is still running and has quarterly meeting</w:t>
      </w:r>
      <w:r w:rsidR="00CD314B">
        <w:rPr>
          <w:sz w:val="24"/>
          <w:szCs w:val="24"/>
        </w:rPr>
        <w:t>s</w:t>
      </w:r>
      <w:r w:rsidRPr="00962101">
        <w:rPr>
          <w:sz w:val="24"/>
          <w:szCs w:val="24"/>
        </w:rPr>
        <w:t xml:space="preserve"> where technicians come together to socialise with tea and coffee. Each meeting has a speaker or other focus. Previous meetings have included a Q&amp;A with the VC, a workshop on mindfulness, and a historical tour of the campus. The network also acts as a communication conduit</w:t>
      </w:r>
      <w:r w:rsidRPr="00962101" w:rsidR="00ED31E6">
        <w:rPr>
          <w:sz w:val="24"/>
          <w:szCs w:val="24"/>
        </w:rPr>
        <w:t>, both</w:t>
      </w:r>
      <w:r w:rsidR="00CD314B">
        <w:rPr>
          <w:sz w:val="24"/>
          <w:szCs w:val="24"/>
        </w:rPr>
        <w:t xml:space="preserve"> </w:t>
      </w:r>
      <w:r w:rsidRPr="00962101">
        <w:rPr>
          <w:sz w:val="24"/>
          <w:szCs w:val="24"/>
        </w:rPr>
        <w:t xml:space="preserve">at meetings but also via an email list. </w:t>
      </w:r>
    </w:p>
    <w:p w:rsidR="00ED4251" w:rsidP="10C84497" w:rsidRDefault="00ED4251" w14:paraId="1457E961" w14:noSpellErr="1" w14:textId="2482248F">
      <w:pPr>
        <w:pBdr>
          <w:top w:val="single" w:color="auto" w:sz="4" w:space="1"/>
          <w:left w:val="single" w:color="auto" w:sz="4" w:space="4"/>
          <w:bottom w:val="single" w:color="auto" w:sz="4" w:space="31"/>
          <w:right w:val="single" w:color="auto" w:sz="4" w:space="4"/>
        </w:pBdr>
        <w:rPr>
          <w:sz w:val="24"/>
          <w:szCs w:val="24"/>
        </w:rPr>
      </w:pPr>
      <w:r w:rsidRPr="10C84497" w:rsidR="10C84497">
        <w:rPr>
          <w:sz w:val="24"/>
          <w:szCs w:val="24"/>
          <w:u w:val="single"/>
        </w:rPr>
        <w:t>Tech-a-break</w:t>
      </w:r>
      <w:r w:rsidRPr="10C84497" w:rsidR="10C84497">
        <w:rPr>
          <w:sz w:val="24"/>
          <w:szCs w:val="24"/>
        </w:rPr>
        <w:t xml:space="preserve"> – was developed as a drop-in meeting group for technical staff to share ideas, concerns and best practice over coffee once a month, but due to logistical issues this has currently been lapsed. The technical staff cohort is spread across a </w:t>
      </w:r>
      <w:r w:rsidRPr="10C84497" w:rsidR="10C84497">
        <w:rPr>
          <w:sz w:val="24"/>
          <w:szCs w:val="24"/>
        </w:rPr>
        <w:t>10</w:t>
      </w:r>
      <w:r w:rsidRPr="10C84497" w:rsidR="10C84497">
        <w:rPr>
          <w:sz w:val="24"/>
          <w:szCs w:val="24"/>
        </w:rPr>
        <w:t>-</w:t>
      </w:r>
      <w:r w:rsidRPr="10C84497" w:rsidR="10C84497">
        <w:rPr>
          <w:sz w:val="24"/>
          <w:szCs w:val="24"/>
        </w:rPr>
        <w:t>mile</w:t>
      </w:r>
      <w:r w:rsidRPr="10C84497" w:rsidR="10C84497">
        <w:rPr>
          <w:sz w:val="24"/>
          <w:szCs w:val="24"/>
        </w:rPr>
        <w:t xml:space="preserve"> radius from the centre of campus and this created numerous travel challenges.</w:t>
      </w:r>
    </w:p>
    <w:p w:rsidRPr="00962101" w:rsidR="00ED4251" w:rsidP="00507831" w:rsidRDefault="00ED4251" w14:paraId="6BD3CB34" w14:textId="3CDC7063">
      <w:pPr>
        <w:pBdr>
          <w:top w:val="single" w:color="auto" w:sz="4" w:space="1"/>
          <w:left w:val="single" w:color="auto" w:sz="4" w:space="4"/>
          <w:bottom w:val="single" w:color="auto" w:sz="4" w:space="31"/>
          <w:right w:val="single" w:color="auto" w:sz="4" w:space="4"/>
        </w:pBdr>
        <w:tabs>
          <w:tab w:val="left" w:pos="3060"/>
        </w:tabs>
        <w:rPr>
          <w:sz w:val="24"/>
          <w:szCs w:val="24"/>
        </w:rPr>
      </w:pPr>
      <w:r w:rsidRPr="00962101">
        <w:rPr>
          <w:sz w:val="24"/>
          <w:szCs w:val="24"/>
          <w:u w:val="single"/>
        </w:rPr>
        <w:t>Technicians Digest</w:t>
      </w:r>
      <w:r w:rsidRPr="00962101" w:rsidR="009263CB">
        <w:rPr>
          <w:sz w:val="24"/>
          <w:szCs w:val="24"/>
          <w:u w:val="single"/>
        </w:rPr>
        <w:t xml:space="preserve"> -</w:t>
      </w:r>
      <w:r w:rsidRPr="00962101" w:rsidR="006F5301">
        <w:rPr>
          <w:sz w:val="24"/>
          <w:szCs w:val="24"/>
        </w:rPr>
        <w:t xml:space="preserve"> Since 2017 weekly technician emails (Technicians Digest) have kept technicians updated about events in Leeds, and also national technician campaign news and information about technicians in the media.</w:t>
      </w:r>
      <w:r w:rsidRPr="00962101" w:rsidR="00507831">
        <w:rPr>
          <w:sz w:val="24"/>
          <w:szCs w:val="24"/>
        </w:rPr>
        <w:tab/>
      </w:r>
    </w:p>
    <w:p w:rsidR="006F5301" w:rsidP="006F5301" w:rsidRDefault="00ED4251" w14:paraId="252F57D5" w14:textId="46CD1BAC">
      <w:pPr>
        <w:pBdr>
          <w:top w:val="single" w:color="auto" w:sz="4" w:space="1"/>
          <w:left w:val="single" w:color="auto" w:sz="4" w:space="4"/>
          <w:bottom w:val="single" w:color="auto" w:sz="4" w:space="31"/>
          <w:right w:val="single" w:color="auto" w:sz="4" w:space="4"/>
        </w:pBdr>
        <w:tabs>
          <w:tab w:val="left" w:pos="3060"/>
        </w:tabs>
        <w:rPr>
          <w:b/>
          <w:sz w:val="24"/>
          <w:szCs w:val="24"/>
        </w:rPr>
      </w:pPr>
      <w:r w:rsidRPr="00962101">
        <w:rPr>
          <w:sz w:val="24"/>
          <w:szCs w:val="24"/>
          <w:u w:val="single"/>
        </w:rPr>
        <w:t>Technically Speaking</w:t>
      </w:r>
      <w:r w:rsidRPr="00962101" w:rsidR="006F5301">
        <w:rPr>
          <w:sz w:val="24"/>
          <w:szCs w:val="24"/>
        </w:rPr>
        <w:t xml:space="preserve"> -</w:t>
      </w:r>
      <w:r w:rsidRPr="00962101" w:rsidR="00346593">
        <w:rPr>
          <w:sz w:val="24"/>
          <w:szCs w:val="24"/>
        </w:rPr>
        <w:t xml:space="preserve"> </w:t>
      </w:r>
      <w:r w:rsidRPr="00962101" w:rsidR="006F5301">
        <w:rPr>
          <w:sz w:val="24"/>
          <w:szCs w:val="24"/>
        </w:rPr>
        <w:t xml:space="preserve">is the University’s Technician’s newsletter which publishes articles for and by technicians. These include informative articles about what technicians have been doing </w:t>
      </w:r>
      <w:r w:rsidRPr="00962101" w:rsidR="00ED31E6">
        <w:rPr>
          <w:sz w:val="24"/>
          <w:szCs w:val="24"/>
        </w:rPr>
        <w:t>as well as</w:t>
      </w:r>
      <w:r w:rsidRPr="00962101" w:rsidR="006F5301">
        <w:rPr>
          <w:sz w:val="24"/>
          <w:szCs w:val="24"/>
        </w:rPr>
        <w:t xml:space="preserve"> interviews with technicians. There have also been articles on changes to purchasing </w:t>
      </w:r>
      <w:r w:rsidRPr="00962101" w:rsidR="00ED31E6">
        <w:rPr>
          <w:sz w:val="24"/>
          <w:szCs w:val="24"/>
        </w:rPr>
        <w:t xml:space="preserve">procedures </w:t>
      </w:r>
      <w:r w:rsidRPr="00962101" w:rsidR="006F5301">
        <w:rPr>
          <w:sz w:val="24"/>
          <w:szCs w:val="24"/>
        </w:rPr>
        <w:t>and H&amp;S</w:t>
      </w:r>
      <w:r w:rsidRPr="00962101" w:rsidR="00ED31E6">
        <w:rPr>
          <w:sz w:val="24"/>
          <w:szCs w:val="24"/>
        </w:rPr>
        <w:t xml:space="preserve"> matters</w:t>
      </w:r>
      <w:r w:rsidRPr="00962101" w:rsidR="006F5301">
        <w:rPr>
          <w:sz w:val="24"/>
          <w:szCs w:val="24"/>
        </w:rPr>
        <w:t xml:space="preserve"> that directly affect technicians. These can be found here:</w:t>
      </w:r>
      <w:r w:rsidRPr="006D2354" w:rsidR="006F5301">
        <w:rPr>
          <w:b/>
          <w:sz w:val="24"/>
          <w:szCs w:val="24"/>
        </w:rPr>
        <w:t xml:space="preserve"> </w:t>
      </w:r>
      <w:hyperlink w:history="1" r:id="rId11">
        <w:r w:rsidRPr="006D2354" w:rsidR="006F5301">
          <w:rPr>
            <w:rStyle w:val="Hyperlink"/>
          </w:rPr>
          <w:t>https://www.leeds.ac.uk/forstaff/news/125152/technicians_network</w:t>
        </w:r>
      </w:hyperlink>
    </w:p>
    <w:p w:rsidRPr="00962101" w:rsidR="006F5301" w:rsidP="006F5301" w:rsidRDefault="00346593" w14:paraId="0F5EF94F" w14:textId="3E2F1B4E">
      <w:pPr>
        <w:pBdr>
          <w:top w:val="single" w:color="auto" w:sz="4" w:space="1"/>
          <w:left w:val="single" w:color="auto" w:sz="4" w:space="4"/>
          <w:bottom w:val="single" w:color="auto" w:sz="4" w:space="31"/>
          <w:right w:val="single" w:color="auto" w:sz="4" w:space="4"/>
        </w:pBdr>
        <w:tabs>
          <w:tab w:val="left" w:pos="3060"/>
        </w:tabs>
        <w:rPr>
          <w:sz w:val="24"/>
          <w:szCs w:val="24"/>
        </w:rPr>
      </w:pPr>
      <w:r w:rsidRPr="00962101">
        <w:rPr>
          <w:sz w:val="24"/>
          <w:szCs w:val="24"/>
        </w:rPr>
        <w:t xml:space="preserve">We have been a member of </w:t>
      </w:r>
      <w:r w:rsidRPr="00962101" w:rsidR="00ED4251">
        <w:rPr>
          <w:sz w:val="24"/>
          <w:szCs w:val="24"/>
        </w:rPr>
        <w:t xml:space="preserve">HEaTED </w:t>
      </w:r>
      <w:r w:rsidRPr="00962101" w:rsidR="006F5301">
        <w:rPr>
          <w:sz w:val="24"/>
          <w:szCs w:val="24"/>
        </w:rPr>
        <w:t xml:space="preserve">for a number of years </w:t>
      </w:r>
      <w:r w:rsidRPr="00962101">
        <w:rPr>
          <w:sz w:val="24"/>
          <w:szCs w:val="24"/>
        </w:rPr>
        <w:t xml:space="preserve">and have encouraged our technicians to attend HEaTED’s specialist development workshops and the </w:t>
      </w:r>
      <w:r w:rsidRPr="00962101" w:rsidR="00ED4251">
        <w:rPr>
          <w:sz w:val="24"/>
          <w:szCs w:val="24"/>
        </w:rPr>
        <w:t>IST conferences</w:t>
      </w:r>
      <w:r w:rsidRPr="00962101" w:rsidR="00BC711E">
        <w:rPr>
          <w:sz w:val="24"/>
          <w:szCs w:val="24"/>
        </w:rPr>
        <w:t>. A small number of technical service teams have taken advantage of these opportunities.</w:t>
      </w:r>
      <w:r w:rsidRPr="00962101" w:rsidR="006F5301">
        <w:rPr>
          <w:sz w:val="24"/>
          <w:szCs w:val="24"/>
        </w:rPr>
        <w:t xml:space="preserve"> Technicians have been attending the IST conference independently. This has been financial</w:t>
      </w:r>
      <w:r w:rsidRPr="00962101" w:rsidR="00962101">
        <w:rPr>
          <w:sz w:val="24"/>
          <w:szCs w:val="24"/>
        </w:rPr>
        <w:t>ly</w:t>
      </w:r>
      <w:r w:rsidRPr="00962101" w:rsidR="006F5301">
        <w:rPr>
          <w:sz w:val="24"/>
          <w:szCs w:val="24"/>
        </w:rPr>
        <w:t xml:space="preserve"> supported by their faculty or the individual’s line managers. </w:t>
      </w:r>
    </w:p>
    <w:p w:rsidRPr="00962101" w:rsidR="00ED4251" w:rsidP="004D55BC" w:rsidRDefault="00ED4251" w14:paraId="1D9BBC84" w14:textId="60A1DF39">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 xml:space="preserve">Professional Registration </w:t>
      </w:r>
      <w:r w:rsidRPr="00962101" w:rsidR="00507831">
        <w:rPr>
          <w:sz w:val="24"/>
          <w:szCs w:val="24"/>
        </w:rPr>
        <w:t>– Faculty Deans agreed to fund one application (includes first year of professional registration) per member of staff in the first year.</w:t>
      </w:r>
      <w:r w:rsidRPr="00962101" w:rsidR="00231ED3">
        <w:rPr>
          <w:sz w:val="24"/>
          <w:szCs w:val="24"/>
        </w:rPr>
        <w:t xml:space="preserve"> This successful venture has also encouraged senior technical staff to train as future assessors within the scheme</w:t>
      </w:r>
      <w:r w:rsidRPr="00962101" w:rsidR="00505854">
        <w:rPr>
          <w:sz w:val="24"/>
          <w:szCs w:val="24"/>
        </w:rPr>
        <w:t xml:space="preserve">, and the university is proud to have </w:t>
      </w:r>
      <w:r w:rsidRPr="00962101" w:rsidR="00962101">
        <w:rPr>
          <w:sz w:val="24"/>
          <w:szCs w:val="24"/>
        </w:rPr>
        <w:t>3</w:t>
      </w:r>
      <w:r w:rsidRPr="00962101" w:rsidR="00505854">
        <w:rPr>
          <w:sz w:val="24"/>
          <w:szCs w:val="24"/>
        </w:rPr>
        <w:t xml:space="preserve"> fully trained assessors amongst its team</w:t>
      </w:r>
      <w:r w:rsidRPr="00962101" w:rsidR="00962101">
        <w:rPr>
          <w:sz w:val="24"/>
          <w:szCs w:val="24"/>
        </w:rPr>
        <w:t>s</w:t>
      </w:r>
      <w:r w:rsidRPr="00962101" w:rsidR="00505854">
        <w:rPr>
          <w:sz w:val="24"/>
          <w:szCs w:val="24"/>
        </w:rPr>
        <w:t xml:space="preserve"> at present.</w:t>
      </w:r>
    </w:p>
    <w:p w:rsidRPr="00962101" w:rsidR="00ED4251" w:rsidP="004D55BC" w:rsidRDefault="00ED4251" w14:paraId="06BBD2F2" w14:textId="649570B4">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In terms of career development annual appraisals (</w:t>
      </w:r>
      <w:r w:rsidRPr="00962101" w:rsidR="00ED31E6">
        <w:rPr>
          <w:sz w:val="24"/>
          <w:szCs w:val="24"/>
        </w:rPr>
        <w:t>Staff Review and Development Scheme meetings (SRDS)</w:t>
      </w:r>
      <w:r w:rsidRPr="00962101">
        <w:rPr>
          <w:sz w:val="24"/>
          <w:szCs w:val="24"/>
        </w:rPr>
        <w:t>) take place with all staff</w:t>
      </w:r>
      <w:r w:rsidRPr="00962101" w:rsidR="00ED31E6">
        <w:rPr>
          <w:sz w:val="24"/>
          <w:szCs w:val="24"/>
        </w:rPr>
        <w:t>.  D</w:t>
      </w:r>
      <w:r w:rsidRPr="00962101">
        <w:rPr>
          <w:sz w:val="24"/>
          <w:szCs w:val="24"/>
        </w:rPr>
        <w:t>uring the meeting</w:t>
      </w:r>
      <w:r w:rsidRPr="00962101" w:rsidR="00ED31E6">
        <w:rPr>
          <w:sz w:val="24"/>
          <w:szCs w:val="24"/>
        </w:rPr>
        <w:t>,</w:t>
      </w:r>
      <w:r w:rsidRPr="00962101">
        <w:rPr>
          <w:sz w:val="24"/>
          <w:szCs w:val="24"/>
        </w:rPr>
        <w:t xml:space="preserve"> focused career development conversations take place, where appropriate CPD opportunities are discussed and agreed. </w:t>
      </w:r>
    </w:p>
    <w:p w:rsidRPr="00962101" w:rsidR="00E209C3" w:rsidP="004D55BC" w:rsidRDefault="0013295A" w14:paraId="6FFC7A2E" w14:textId="5411A83E">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 xml:space="preserve">In </w:t>
      </w:r>
      <w:r w:rsidRPr="00962101" w:rsidR="009E6FEE">
        <w:rPr>
          <w:sz w:val="24"/>
          <w:szCs w:val="24"/>
        </w:rPr>
        <w:t xml:space="preserve">the Faculties of Biological Sciences </w:t>
      </w:r>
      <w:r w:rsidRPr="00962101" w:rsidR="00EC3303">
        <w:rPr>
          <w:sz w:val="24"/>
          <w:szCs w:val="24"/>
        </w:rPr>
        <w:t xml:space="preserve">(FBS) </w:t>
      </w:r>
      <w:r w:rsidRPr="00962101" w:rsidR="009E6FEE">
        <w:rPr>
          <w:sz w:val="24"/>
          <w:szCs w:val="24"/>
        </w:rPr>
        <w:t xml:space="preserve">and Environment </w:t>
      </w:r>
      <w:r w:rsidRPr="00962101" w:rsidR="00E365DE">
        <w:rPr>
          <w:sz w:val="24"/>
          <w:szCs w:val="24"/>
        </w:rPr>
        <w:t xml:space="preserve">trainees </w:t>
      </w:r>
      <w:r w:rsidRPr="00962101">
        <w:rPr>
          <w:sz w:val="24"/>
          <w:szCs w:val="24"/>
        </w:rPr>
        <w:t>were supported to attend day/block release training to gain a professional qualification e</w:t>
      </w:r>
      <w:r w:rsidRPr="00962101" w:rsidR="002963CC">
        <w:rPr>
          <w:sz w:val="24"/>
          <w:szCs w:val="24"/>
        </w:rPr>
        <w:t>.</w:t>
      </w:r>
      <w:r w:rsidRPr="00962101">
        <w:rPr>
          <w:sz w:val="24"/>
          <w:szCs w:val="24"/>
        </w:rPr>
        <w:t>g</w:t>
      </w:r>
      <w:r w:rsidRPr="00962101" w:rsidR="002963CC">
        <w:rPr>
          <w:sz w:val="24"/>
          <w:szCs w:val="24"/>
        </w:rPr>
        <w:t>.</w:t>
      </w:r>
      <w:r w:rsidRPr="00962101">
        <w:rPr>
          <w:sz w:val="24"/>
          <w:szCs w:val="24"/>
        </w:rPr>
        <w:t xml:space="preserve"> BTec, HNC,</w:t>
      </w:r>
      <w:r w:rsidRPr="003305FE">
        <w:rPr>
          <w:b/>
          <w:sz w:val="24"/>
          <w:szCs w:val="24"/>
        </w:rPr>
        <w:t xml:space="preserve"> </w:t>
      </w:r>
      <w:r w:rsidRPr="00962101">
        <w:rPr>
          <w:sz w:val="24"/>
          <w:szCs w:val="24"/>
        </w:rPr>
        <w:t>Degree</w:t>
      </w:r>
      <w:r w:rsidRPr="00962101" w:rsidR="002963CC">
        <w:rPr>
          <w:sz w:val="24"/>
          <w:szCs w:val="24"/>
        </w:rPr>
        <w:t>.</w:t>
      </w:r>
      <w:r w:rsidRPr="00962101">
        <w:rPr>
          <w:sz w:val="24"/>
          <w:szCs w:val="24"/>
        </w:rPr>
        <w:t xml:space="preserve"> </w:t>
      </w:r>
      <w:r w:rsidRPr="00962101" w:rsidR="0006627F">
        <w:rPr>
          <w:sz w:val="24"/>
          <w:szCs w:val="24"/>
        </w:rPr>
        <w:t xml:space="preserve">In </w:t>
      </w:r>
      <w:r w:rsidRPr="00962101" w:rsidR="002963CC">
        <w:rPr>
          <w:sz w:val="24"/>
          <w:szCs w:val="24"/>
        </w:rPr>
        <w:t xml:space="preserve">the Faculty of </w:t>
      </w:r>
      <w:r w:rsidRPr="00962101" w:rsidR="0006627F">
        <w:rPr>
          <w:sz w:val="24"/>
          <w:szCs w:val="24"/>
        </w:rPr>
        <w:t>Engineering there</w:t>
      </w:r>
      <w:r w:rsidRPr="00962101">
        <w:rPr>
          <w:sz w:val="24"/>
          <w:szCs w:val="24"/>
        </w:rPr>
        <w:t xml:space="preserve"> is a formal, faculty supported plan whereby apprentices are employed annually and attend college leading to a formal qualification.</w:t>
      </w:r>
    </w:p>
    <w:p w:rsidRPr="00962101" w:rsidR="002963CC" w:rsidP="004D55BC" w:rsidRDefault="00EC3303" w14:paraId="18DAD59D" w14:textId="73EEA7EB">
      <w:pPr>
        <w:pBdr>
          <w:top w:val="single" w:color="auto" w:sz="4" w:space="1"/>
          <w:left w:val="single" w:color="auto" w:sz="4" w:space="4"/>
          <w:bottom w:val="single" w:color="auto" w:sz="4" w:space="31"/>
          <w:right w:val="single" w:color="auto" w:sz="4" w:space="4"/>
        </w:pBdr>
        <w:rPr>
          <w:sz w:val="24"/>
          <w:szCs w:val="24"/>
        </w:rPr>
      </w:pPr>
      <w:r w:rsidRPr="00962101">
        <w:rPr>
          <w:sz w:val="24"/>
          <w:szCs w:val="24"/>
        </w:rPr>
        <w:lastRenderedPageBreak/>
        <w:t>FBS</w:t>
      </w:r>
      <w:r w:rsidRPr="00962101" w:rsidR="002963CC">
        <w:rPr>
          <w:sz w:val="24"/>
          <w:szCs w:val="24"/>
        </w:rPr>
        <w:t xml:space="preserve"> held away days and </w:t>
      </w:r>
      <w:r w:rsidRPr="00962101" w:rsidR="00E365DE">
        <w:rPr>
          <w:sz w:val="24"/>
          <w:szCs w:val="24"/>
        </w:rPr>
        <w:t>following the evaluation of these</w:t>
      </w:r>
      <w:r w:rsidRPr="00962101" w:rsidR="002963CC">
        <w:rPr>
          <w:sz w:val="24"/>
          <w:szCs w:val="24"/>
        </w:rPr>
        <w:t xml:space="preserve"> it has been decided that the away day model will be broadened out to include Technicians from all areas of the University, this will be an annual Technician’s Conference.</w:t>
      </w:r>
    </w:p>
    <w:p w:rsidRPr="00962101" w:rsidR="002963CC" w:rsidP="004D55BC" w:rsidRDefault="00E365DE" w14:paraId="2F36640A" w14:textId="6DFC71AB">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 xml:space="preserve">An </w:t>
      </w:r>
      <w:r w:rsidRPr="00962101" w:rsidR="002963CC">
        <w:rPr>
          <w:sz w:val="24"/>
          <w:szCs w:val="24"/>
        </w:rPr>
        <w:t xml:space="preserve">FBS Technicians’ Showcasing event has taken place and </w:t>
      </w:r>
      <w:r w:rsidRPr="00962101" w:rsidR="00505854">
        <w:rPr>
          <w:sz w:val="24"/>
          <w:szCs w:val="24"/>
        </w:rPr>
        <w:t xml:space="preserve">is </w:t>
      </w:r>
      <w:r w:rsidRPr="00962101" w:rsidR="002963CC">
        <w:rPr>
          <w:sz w:val="24"/>
          <w:szCs w:val="24"/>
        </w:rPr>
        <w:t xml:space="preserve">considered good practice by the Technician’s Commitment Committee. This will be rolled out to other Faculties </w:t>
      </w:r>
      <w:r w:rsidRPr="00962101" w:rsidR="00346593">
        <w:rPr>
          <w:sz w:val="24"/>
          <w:szCs w:val="24"/>
        </w:rPr>
        <w:t xml:space="preserve">and will </w:t>
      </w:r>
      <w:r w:rsidRPr="00962101" w:rsidR="002963CC">
        <w:rPr>
          <w:sz w:val="24"/>
          <w:szCs w:val="24"/>
        </w:rPr>
        <w:t xml:space="preserve">support the </w:t>
      </w:r>
      <w:r w:rsidRPr="00962101" w:rsidR="00ED4251">
        <w:rPr>
          <w:sz w:val="24"/>
          <w:szCs w:val="24"/>
        </w:rPr>
        <w:t>visibility aspect of the Commitment</w:t>
      </w:r>
      <w:r w:rsidRPr="00962101" w:rsidR="00EC3303">
        <w:rPr>
          <w:sz w:val="24"/>
          <w:szCs w:val="24"/>
        </w:rPr>
        <w:t>.</w:t>
      </w:r>
      <w:r w:rsidRPr="00962101" w:rsidR="002963CC">
        <w:rPr>
          <w:sz w:val="24"/>
          <w:szCs w:val="24"/>
        </w:rPr>
        <w:t xml:space="preserve"> </w:t>
      </w:r>
    </w:p>
    <w:p w:rsidRPr="00962101" w:rsidR="0013295A" w:rsidP="004D55BC" w:rsidRDefault="00E65076" w14:paraId="77CBEEA6" w14:textId="5A39F316">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 xml:space="preserve">Professional </w:t>
      </w:r>
      <w:r w:rsidRPr="00962101" w:rsidR="00E365DE">
        <w:rPr>
          <w:sz w:val="24"/>
          <w:szCs w:val="24"/>
        </w:rPr>
        <w:t xml:space="preserve">development </w:t>
      </w:r>
      <w:r w:rsidRPr="00962101">
        <w:rPr>
          <w:sz w:val="24"/>
          <w:szCs w:val="24"/>
        </w:rPr>
        <w:t>c</w:t>
      </w:r>
      <w:r w:rsidRPr="00962101" w:rsidR="0006627F">
        <w:rPr>
          <w:sz w:val="24"/>
          <w:szCs w:val="24"/>
        </w:rPr>
        <w:t xml:space="preserve">ourses </w:t>
      </w:r>
      <w:r w:rsidRPr="00962101">
        <w:rPr>
          <w:sz w:val="24"/>
          <w:szCs w:val="24"/>
        </w:rPr>
        <w:t>have been attended</w:t>
      </w:r>
      <w:r w:rsidR="00CD314B">
        <w:rPr>
          <w:sz w:val="24"/>
          <w:szCs w:val="24"/>
        </w:rPr>
        <w:t>,</w:t>
      </w:r>
      <w:r w:rsidRPr="00962101">
        <w:rPr>
          <w:sz w:val="24"/>
          <w:szCs w:val="24"/>
        </w:rPr>
        <w:t xml:space="preserve"> which are</w:t>
      </w:r>
      <w:r w:rsidRPr="00962101" w:rsidR="0006627F">
        <w:rPr>
          <w:sz w:val="24"/>
          <w:szCs w:val="24"/>
        </w:rPr>
        <w:t xml:space="preserve"> </w:t>
      </w:r>
      <w:r w:rsidRPr="00962101">
        <w:rPr>
          <w:sz w:val="24"/>
          <w:szCs w:val="24"/>
        </w:rPr>
        <w:t xml:space="preserve">run by Organisational Development and </w:t>
      </w:r>
      <w:r w:rsidRPr="00962101" w:rsidR="00E365DE">
        <w:rPr>
          <w:sz w:val="24"/>
          <w:szCs w:val="24"/>
        </w:rPr>
        <w:t xml:space="preserve">Professional </w:t>
      </w:r>
      <w:r w:rsidRPr="00962101">
        <w:rPr>
          <w:sz w:val="24"/>
          <w:szCs w:val="24"/>
        </w:rPr>
        <w:t>Learning (OD&amp;PL)</w:t>
      </w:r>
      <w:r w:rsidR="00CD314B">
        <w:rPr>
          <w:sz w:val="24"/>
          <w:szCs w:val="24"/>
        </w:rPr>
        <w:t>,</w:t>
      </w:r>
      <w:r w:rsidRPr="00962101">
        <w:rPr>
          <w:sz w:val="24"/>
          <w:szCs w:val="24"/>
        </w:rPr>
        <w:t xml:space="preserve"> </w:t>
      </w:r>
      <w:r w:rsidRPr="00962101" w:rsidR="0006627F">
        <w:rPr>
          <w:sz w:val="24"/>
          <w:szCs w:val="24"/>
        </w:rPr>
        <w:t xml:space="preserve">by </w:t>
      </w:r>
      <w:r w:rsidRPr="00962101">
        <w:rPr>
          <w:sz w:val="24"/>
          <w:szCs w:val="24"/>
        </w:rPr>
        <w:t xml:space="preserve">our </w:t>
      </w:r>
      <w:r w:rsidRPr="00962101" w:rsidR="0006627F">
        <w:rPr>
          <w:sz w:val="24"/>
          <w:szCs w:val="24"/>
        </w:rPr>
        <w:t>technical staff w</w:t>
      </w:r>
      <w:r w:rsidRPr="00962101">
        <w:rPr>
          <w:sz w:val="24"/>
          <w:szCs w:val="24"/>
        </w:rPr>
        <w:t>ho are wanting to progress their careers</w:t>
      </w:r>
      <w:r w:rsidRPr="00962101" w:rsidR="0006627F">
        <w:rPr>
          <w:sz w:val="24"/>
          <w:szCs w:val="24"/>
        </w:rPr>
        <w:t xml:space="preserve"> into </w:t>
      </w:r>
      <w:r w:rsidRPr="00962101">
        <w:rPr>
          <w:sz w:val="24"/>
          <w:szCs w:val="24"/>
        </w:rPr>
        <w:t>leadership and management roles</w:t>
      </w:r>
      <w:r w:rsidRPr="00962101" w:rsidR="0006627F">
        <w:rPr>
          <w:sz w:val="24"/>
          <w:szCs w:val="24"/>
        </w:rPr>
        <w:t>.</w:t>
      </w:r>
    </w:p>
    <w:p w:rsidRPr="00962101" w:rsidR="0006627F" w:rsidP="004D55BC" w:rsidRDefault="00E65076" w14:paraId="7121AF92" w14:textId="0C24DADC">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 xml:space="preserve">Our </w:t>
      </w:r>
      <w:r w:rsidRPr="00962101" w:rsidR="000F54F4">
        <w:rPr>
          <w:sz w:val="24"/>
          <w:szCs w:val="24"/>
        </w:rPr>
        <w:t>Logi</w:t>
      </w:r>
      <w:r w:rsidRPr="00962101">
        <w:rPr>
          <w:sz w:val="24"/>
          <w:szCs w:val="24"/>
        </w:rPr>
        <w:t>k C</w:t>
      </w:r>
      <w:r w:rsidRPr="00962101" w:rsidR="000F54F4">
        <w:rPr>
          <w:sz w:val="24"/>
          <w:szCs w:val="24"/>
        </w:rPr>
        <w:t>entre</w:t>
      </w:r>
      <w:r w:rsidRPr="00962101" w:rsidR="00631CDB">
        <w:rPr>
          <w:sz w:val="24"/>
          <w:szCs w:val="24"/>
        </w:rPr>
        <w:t xml:space="preserve"> </w:t>
      </w:r>
      <w:r w:rsidRPr="00962101">
        <w:rPr>
          <w:sz w:val="24"/>
          <w:szCs w:val="24"/>
        </w:rPr>
        <w:t xml:space="preserve">which sits </w:t>
      </w:r>
      <w:r w:rsidRPr="00962101" w:rsidR="00E365DE">
        <w:rPr>
          <w:sz w:val="24"/>
          <w:szCs w:val="24"/>
        </w:rPr>
        <w:t xml:space="preserve">within </w:t>
      </w:r>
      <w:r w:rsidRPr="00962101">
        <w:rPr>
          <w:sz w:val="24"/>
          <w:szCs w:val="24"/>
        </w:rPr>
        <w:t>OD&amp;PL</w:t>
      </w:r>
      <w:r w:rsidRPr="00962101" w:rsidR="000F54F4">
        <w:rPr>
          <w:sz w:val="24"/>
          <w:szCs w:val="24"/>
        </w:rPr>
        <w:t xml:space="preserve"> offer</w:t>
      </w:r>
      <w:r w:rsidRPr="00962101" w:rsidR="0006627F">
        <w:rPr>
          <w:sz w:val="24"/>
          <w:szCs w:val="24"/>
        </w:rPr>
        <w:t xml:space="preserve"> courses to all support st</w:t>
      </w:r>
      <w:r w:rsidRPr="00962101" w:rsidR="000F54F4">
        <w:rPr>
          <w:sz w:val="24"/>
          <w:szCs w:val="24"/>
        </w:rPr>
        <w:t>aff (including tech</w:t>
      </w:r>
      <w:r w:rsidRPr="00962101" w:rsidR="00631CDB">
        <w:rPr>
          <w:sz w:val="24"/>
          <w:szCs w:val="24"/>
        </w:rPr>
        <w:t>nician</w:t>
      </w:r>
      <w:r w:rsidRPr="00962101" w:rsidR="000F54F4">
        <w:rPr>
          <w:sz w:val="24"/>
          <w:szCs w:val="24"/>
        </w:rPr>
        <w:t>s) who want</w:t>
      </w:r>
      <w:r w:rsidRPr="00962101" w:rsidR="0006627F">
        <w:rPr>
          <w:sz w:val="24"/>
          <w:szCs w:val="24"/>
        </w:rPr>
        <w:t xml:space="preserve"> help with CV writing, skills training, interview techniques. Also for support staff (</w:t>
      </w:r>
      <w:r w:rsidRPr="00962101" w:rsidR="00E365DE">
        <w:rPr>
          <w:sz w:val="24"/>
          <w:szCs w:val="24"/>
        </w:rPr>
        <w:t xml:space="preserve">i.e. </w:t>
      </w:r>
      <w:r w:rsidRPr="00962101" w:rsidR="0006627F">
        <w:rPr>
          <w:sz w:val="24"/>
          <w:szCs w:val="24"/>
        </w:rPr>
        <w:t>including tech</w:t>
      </w:r>
      <w:r w:rsidRPr="00962101" w:rsidR="00631CDB">
        <w:rPr>
          <w:sz w:val="24"/>
          <w:szCs w:val="24"/>
        </w:rPr>
        <w:t>nicians</w:t>
      </w:r>
      <w:r w:rsidRPr="00962101" w:rsidR="0006627F">
        <w:rPr>
          <w:sz w:val="24"/>
          <w:szCs w:val="24"/>
        </w:rPr>
        <w:t xml:space="preserve"> </w:t>
      </w:r>
      <w:r w:rsidRPr="00962101" w:rsidR="00E365DE">
        <w:rPr>
          <w:sz w:val="24"/>
          <w:szCs w:val="24"/>
        </w:rPr>
        <w:t xml:space="preserve">at </w:t>
      </w:r>
      <w:r w:rsidRPr="00962101" w:rsidR="0006627F">
        <w:rPr>
          <w:sz w:val="24"/>
          <w:szCs w:val="24"/>
        </w:rPr>
        <w:t>grades 2-4</w:t>
      </w:r>
      <w:r w:rsidRPr="00962101" w:rsidR="00E365DE">
        <w:rPr>
          <w:sz w:val="24"/>
          <w:szCs w:val="24"/>
        </w:rPr>
        <w:t>)</w:t>
      </w:r>
      <w:r w:rsidRPr="00962101" w:rsidR="0006627F">
        <w:rPr>
          <w:sz w:val="24"/>
          <w:szCs w:val="24"/>
        </w:rPr>
        <w:t xml:space="preserve"> the Logi</w:t>
      </w:r>
      <w:r w:rsidRPr="00962101">
        <w:rPr>
          <w:sz w:val="24"/>
          <w:szCs w:val="24"/>
        </w:rPr>
        <w:t>k</w:t>
      </w:r>
      <w:r w:rsidRPr="00962101" w:rsidR="0006627F">
        <w:rPr>
          <w:sz w:val="24"/>
          <w:szCs w:val="24"/>
        </w:rPr>
        <w:t xml:space="preserve"> </w:t>
      </w:r>
      <w:r w:rsidRPr="00962101">
        <w:rPr>
          <w:sz w:val="24"/>
          <w:szCs w:val="24"/>
        </w:rPr>
        <w:t>C</w:t>
      </w:r>
      <w:r w:rsidRPr="00962101" w:rsidR="0006627F">
        <w:rPr>
          <w:sz w:val="24"/>
          <w:szCs w:val="24"/>
        </w:rPr>
        <w:t>entre managed the “l</w:t>
      </w:r>
      <w:r w:rsidRPr="00962101" w:rsidR="003305FE">
        <w:rPr>
          <w:sz w:val="24"/>
          <w:szCs w:val="24"/>
        </w:rPr>
        <w:t>earning for Life</w:t>
      </w:r>
      <w:r w:rsidRPr="00962101" w:rsidR="0006627F">
        <w:rPr>
          <w:sz w:val="24"/>
          <w:szCs w:val="24"/>
        </w:rPr>
        <w:t xml:space="preserve"> initiative” whereby staff could improve/develop their life skills i.e. EDCL, using Office, help with </w:t>
      </w:r>
      <w:r w:rsidRPr="00962101" w:rsidR="00631CDB">
        <w:rPr>
          <w:sz w:val="24"/>
          <w:szCs w:val="24"/>
        </w:rPr>
        <w:t>M</w:t>
      </w:r>
      <w:r w:rsidRPr="00962101" w:rsidR="0006627F">
        <w:rPr>
          <w:sz w:val="24"/>
          <w:szCs w:val="24"/>
        </w:rPr>
        <w:t>aths.</w:t>
      </w:r>
      <w:r w:rsidRPr="00962101" w:rsidR="000F54F4">
        <w:rPr>
          <w:sz w:val="24"/>
          <w:szCs w:val="24"/>
        </w:rPr>
        <w:t xml:space="preserve"> </w:t>
      </w:r>
    </w:p>
    <w:p w:rsidRPr="00962101" w:rsidR="00175A82" w:rsidP="10C84497" w:rsidRDefault="00175A82" w14:paraId="12AED629" w14:noSpellErr="1" w14:textId="6E03E92D">
      <w:pPr>
        <w:pBdr>
          <w:top w:val="single" w:color="auto" w:sz="4" w:space="1"/>
          <w:left w:val="single" w:color="auto" w:sz="4" w:space="4"/>
          <w:bottom w:val="single" w:color="auto" w:sz="4" w:space="1"/>
          <w:right w:val="single" w:color="auto" w:sz="4" w:space="4"/>
        </w:pBdr>
        <w:rPr>
          <w:sz w:val="24"/>
          <w:szCs w:val="24"/>
        </w:rPr>
      </w:pPr>
      <w:r w:rsidRPr="10C84497" w:rsidR="10C84497">
        <w:rPr>
          <w:sz w:val="24"/>
          <w:szCs w:val="24"/>
        </w:rPr>
        <w:t xml:space="preserve">Prior to becoming a </w:t>
      </w:r>
      <w:r w:rsidRPr="10C84497" w:rsidR="10C84497">
        <w:rPr>
          <w:sz w:val="24"/>
          <w:szCs w:val="24"/>
        </w:rPr>
        <w:t>signatory</w:t>
      </w:r>
      <w:r w:rsidRPr="10C84497" w:rsidR="10C84497">
        <w:rPr>
          <w:sz w:val="24"/>
          <w:szCs w:val="24"/>
        </w:rPr>
        <w:t>,</w:t>
      </w:r>
      <w:r w:rsidRPr="10C84497" w:rsidR="10C84497">
        <w:rPr>
          <w:sz w:val="24"/>
          <w:szCs w:val="24"/>
        </w:rPr>
        <w:t xml:space="preserve"> we had appointed the 4 apprentices in academic faculties and we aim to increase the number of apprenticeships in the future. AHC are currently considering the appointment of apprenticeships as part of their technical services realignment and new ways of working.</w:t>
      </w:r>
    </w:p>
    <w:p w:rsidR="00E209C3" w:rsidP="00E209C3" w:rsidRDefault="00E209C3" w14:paraId="724D7AC4" w14:textId="77777777">
      <w:pPr>
        <w:pBdr>
          <w:top w:val="single" w:color="auto" w:sz="4" w:space="1"/>
          <w:left w:val="single" w:color="auto" w:sz="4" w:space="4"/>
          <w:bottom w:val="single" w:color="auto" w:sz="4" w:space="1"/>
          <w:right w:val="single" w:color="auto" w:sz="4" w:space="4"/>
        </w:pBdr>
      </w:pPr>
    </w:p>
    <w:p w:rsidR="00E209C3" w:rsidP="003237EA" w:rsidRDefault="00E209C3" w14:paraId="066851A0" w14:textId="77777777"/>
    <w:p w:rsidRPr="00CD314B" w:rsidR="005E2F3C" w:rsidP="00DC192F" w:rsidRDefault="005E2F3C" w14:paraId="78C41DD7" w14:textId="328A809D">
      <w:pPr>
        <w:pBdr>
          <w:top w:val="single" w:color="auto" w:sz="4" w:space="1"/>
          <w:left w:val="single" w:color="auto" w:sz="4" w:space="4"/>
          <w:bottom w:val="single" w:color="auto" w:sz="4" w:space="1"/>
          <w:right w:val="single" w:color="auto" w:sz="4" w:space="4"/>
        </w:pBdr>
        <w:rPr>
          <w:b/>
          <w:sz w:val="24"/>
          <w:szCs w:val="24"/>
        </w:rPr>
      </w:pPr>
      <w:r w:rsidRPr="00CD314B">
        <w:rPr>
          <w:b/>
          <w:sz w:val="24"/>
          <w:szCs w:val="24"/>
        </w:rPr>
        <w:t xml:space="preserve">The Technician Commitment aims to ensure visibility, recognition, career development and sustainability for technical staff across higher education and research. Please tell us of any initiatives your organisation has put in place to address these </w:t>
      </w:r>
      <w:r w:rsidRPr="00CD314B" w:rsidR="005357C0">
        <w:rPr>
          <w:b/>
          <w:sz w:val="24"/>
          <w:szCs w:val="24"/>
        </w:rPr>
        <w:t>themes</w:t>
      </w:r>
      <w:r w:rsidRPr="00CD314B">
        <w:rPr>
          <w:b/>
          <w:sz w:val="24"/>
          <w:szCs w:val="24"/>
        </w:rPr>
        <w:t xml:space="preserve"> since becoming a signatory of the Technician Commitment:</w:t>
      </w:r>
    </w:p>
    <w:p w:rsidRPr="00190105" w:rsidR="00190105" w:rsidP="00624B96" w:rsidRDefault="00190105" w14:paraId="625CD649" w14:textId="2722F00E">
      <w:pPr>
        <w:pBdr>
          <w:top w:val="single" w:color="auto" w:sz="4" w:space="1"/>
          <w:left w:val="single" w:color="auto" w:sz="4" w:space="4"/>
          <w:bottom w:val="single" w:color="auto" w:sz="4" w:space="31"/>
          <w:right w:val="single" w:color="auto" w:sz="4" w:space="4"/>
        </w:pBdr>
        <w:rPr>
          <w:b/>
          <w:sz w:val="24"/>
          <w:szCs w:val="24"/>
          <w:u w:val="single"/>
        </w:rPr>
      </w:pPr>
      <w:r w:rsidRPr="00190105">
        <w:rPr>
          <w:b/>
          <w:sz w:val="24"/>
          <w:szCs w:val="24"/>
          <w:u w:val="single"/>
        </w:rPr>
        <w:t>Visibility</w:t>
      </w:r>
    </w:p>
    <w:p w:rsidRPr="00962101" w:rsidR="00624B96" w:rsidP="00624B96" w:rsidRDefault="00624B96" w14:paraId="4C49E0CE" w14:textId="5D625752">
      <w:pPr>
        <w:pBdr>
          <w:top w:val="single" w:color="auto" w:sz="4" w:space="1"/>
          <w:left w:val="single" w:color="auto" w:sz="4" w:space="4"/>
          <w:bottom w:val="single" w:color="auto" w:sz="4" w:space="31"/>
          <w:right w:val="single" w:color="auto" w:sz="4" w:space="4"/>
        </w:pBdr>
        <w:rPr>
          <w:sz w:val="24"/>
          <w:szCs w:val="24"/>
        </w:rPr>
      </w:pPr>
      <w:r w:rsidRPr="00962101">
        <w:rPr>
          <w:sz w:val="24"/>
          <w:szCs w:val="24"/>
        </w:rPr>
        <w:t>We have established the Technician Commitment Committee (TCC). The Committee is made of representatives from the technical, academic and professional managerial communities across the University. The Committee meets quarterly.  We have also appointed Technician’s Champion</w:t>
      </w:r>
      <w:r w:rsidRPr="00962101" w:rsidR="00E365DE">
        <w:rPr>
          <w:sz w:val="24"/>
          <w:szCs w:val="24"/>
        </w:rPr>
        <w:t xml:space="preserve">s in each faculty.   These </w:t>
      </w:r>
      <w:r w:rsidRPr="00962101" w:rsidR="00AC559D">
        <w:rPr>
          <w:sz w:val="24"/>
          <w:szCs w:val="24"/>
        </w:rPr>
        <w:t>C</w:t>
      </w:r>
      <w:r w:rsidRPr="00962101" w:rsidR="00E365DE">
        <w:rPr>
          <w:sz w:val="24"/>
          <w:szCs w:val="24"/>
        </w:rPr>
        <w:t xml:space="preserve">hampions </w:t>
      </w:r>
      <w:r w:rsidRPr="00962101">
        <w:rPr>
          <w:sz w:val="24"/>
          <w:szCs w:val="24"/>
        </w:rPr>
        <w:t>will represent each academic faculty on the committee and will attend and play an active part in the Technician’s Network. The Faculty Deans have committed to supporting these roles and have agreed to workload remission for the role holders.</w:t>
      </w:r>
    </w:p>
    <w:p w:rsidRPr="00962101" w:rsidR="009263CB" w:rsidP="00DC192F" w:rsidRDefault="00624B96" w14:paraId="6D1B54FF" w14:textId="20BCC6B9">
      <w:pPr>
        <w:pBdr>
          <w:top w:val="single" w:color="auto" w:sz="4" w:space="1"/>
          <w:left w:val="single" w:color="auto" w:sz="4" w:space="4"/>
          <w:bottom w:val="single" w:color="auto" w:sz="4" w:space="1"/>
          <w:right w:val="single" w:color="auto" w:sz="4" w:space="4"/>
        </w:pBdr>
        <w:rPr>
          <w:sz w:val="24"/>
          <w:szCs w:val="24"/>
        </w:rPr>
      </w:pPr>
      <w:r w:rsidRPr="00962101">
        <w:rPr>
          <w:sz w:val="24"/>
          <w:szCs w:val="24"/>
        </w:rPr>
        <w:t>T</w:t>
      </w:r>
      <w:r w:rsidRPr="00962101" w:rsidR="0088637A">
        <w:rPr>
          <w:sz w:val="24"/>
          <w:szCs w:val="24"/>
        </w:rPr>
        <w:t xml:space="preserve">he Technician Commitment has been used to actively encourage technicians to access internal and external CPD activities/opportunities, such as attendance at conferences and leadership development courses to support career development. </w:t>
      </w:r>
      <w:r w:rsidRPr="00962101" w:rsidR="009263CB">
        <w:rPr>
          <w:sz w:val="24"/>
          <w:szCs w:val="24"/>
        </w:rPr>
        <w:t>T</w:t>
      </w:r>
      <w:r w:rsidRPr="00962101" w:rsidR="0088637A">
        <w:rPr>
          <w:sz w:val="24"/>
          <w:szCs w:val="24"/>
        </w:rPr>
        <w:t>o raise the profile and understanding of our technical</w:t>
      </w:r>
      <w:r w:rsidRPr="00962101">
        <w:rPr>
          <w:sz w:val="24"/>
          <w:szCs w:val="24"/>
        </w:rPr>
        <w:t xml:space="preserve"> </w:t>
      </w:r>
      <w:r w:rsidRPr="00962101" w:rsidR="0088637A">
        <w:rPr>
          <w:sz w:val="24"/>
          <w:szCs w:val="24"/>
        </w:rPr>
        <w:t xml:space="preserve">teams, we are developing and progressing </w:t>
      </w:r>
      <w:r w:rsidRPr="00962101">
        <w:rPr>
          <w:sz w:val="24"/>
          <w:szCs w:val="24"/>
        </w:rPr>
        <w:t xml:space="preserve">a skills matrix, this work has started in </w:t>
      </w:r>
      <w:r w:rsidRPr="00962101" w:rsidR="00A34231">
        <w:rPr>
          <w:sz w:val="24"/>
          <w:szCs w:val="24"/>
        </w:rPr>
        <w:t>3</w:t>
      </w:r>
      <w:r w:rsidRPr="00962101">
        <w:rPr>
          <w:sz w:val="24"/>
          <w:szCs w:val="24"/>
        </w:rPr>
        <w:t xml:space="preserve"> of our faculties, Medicine and Health</w:t>
      </w:r>
      <w:r w:rsidRPr="00962101" w:rsidR="00A34231">
        <w:rPr>
          <w:sz w:val="24"/>
          <w:szCs w:val="24"/>
        </w:rPr>
        <w:t>, Engineering</w:t>
      </w:r>
      <w:r w:rsidRPr="00962101">
        <w:rPr>
          <w:sz w:val="24"/>
          <w:szCs w:val="24"/>
        </w:rPr>
        <w:t xml:space="preserve"> and FBS. This will give greater visibility to what our technical staff do and will identify where we have potential skills gaps and inform succession planning</w:t>
      </w:r>
      <w:r w:rsidRPr="00962101" w:rsidR="009263CB">
        <w:rPr>
          <w:sz w:val="24"/>
          <w:szCs w:val="24"/>
        </w:rPr>
        <w:t>.</w:t>
      </w:r>
    </w:p>
    <w:p w:rsidRPr="00962101" w:rsidR="00355F96" w:rsidP="00DC192F" w:rsidRDefault="00346593" w14:paraId="4B261AA3" w14:textId="550CC21F">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We </w:t>
      </w:r>
      <w:r w:rsidRPr="00962101" w:rsidR="00D535A9">
        <w:rPr>
          <w:sz w:val="24"/>
          <w:szCs w:val="24"/>
        </w:rPr>
        <w:t xml:space="preserve">are focusing on </w:t>
      </w:r>
      <w:r w:rsidRPr="00962101" w:rsidR="00AC559D">
        <w:rPr>
          <w:sz w:val="24"/>
          <w:szCs w:val="24"/>
        </w:rPr>
        <w:t xml:space="preserve">expanding </w:t>
      </w:r>
      <w:r w:rsidRPr="00962101" w:rsidR="00355F96">
        <w:rPr>
          <w:sz w:val="24"/>
          <w:szCs w:val="24"/>
        </w:rPr>
        <w:t xml:space="preserve">the Technician’s Network to </w:t>
      </w:r>
      <w:r w:rsidRPr="00962101" w:rsidR="00D535A9">
        <w:rPr>
          <w:sz w:val="24"/>
          <w:szCs w:val="24"/>
        </w:rPr>
        <w:t xml:space="preserve">increase </w:t>
      </w:r>
      <w:r w:rsidRPr="00962101" w:rsidR="00355F96">
        <w:rPr>
          <w:sz w:val="24"/>
          <w:szCs w:val="24"/>
        </w:rPr>
        <w:t>members</w:t>
      </w:r>
      <w:r w:rsidRPr="00962101" w:rsidR="00AC559D">
        <w:rPr>
          <w:sz w:val="24"/>
          <w:szCs w:val="24"/>
        </w:rPr>
        <w:t>hip</w:t>
      </w:r>
      <w:r w:rsidRPr="00962101" w:rsidR="00355F96">
        <w:rPr>
          <w:sz w:val="24"/>
          <w:szCs w:val="24"/>
        </w:rPr>
        <w:t>.</w:t>
      </w:r>
      <w:r w:rsidRPr="00962101" w:rsidR="003305FE">
        <w:rPr>
          <w:sz w:val="24"/>
          <w:szCs w:val="24"/>
        </w:rPr>
        <w:t xml:space="preserve"> As the network progresses it will strengthen the technician’s voice and will continue to share best practice</w:t>
      </w:r>
      <w:r w:rsidRPr="00962101" w:rsidR="00BC711E">
        <w:rPr>
          <w:sz w:val="24"/>
          <w:szCs w:val="24"/>
        </w:rPr>
        <w:t>, provide support through communications, events and continue to encourage professional registration.</w:t>
      </w:r>
    </w:p>
    <w:p w:rsidRPr="00962101" w:rsidR="001C785B" w:rsidP="00DC192F" w:rsidRDefault="00D535A9" w14:paraId="7401DD0F" w14:textId="657FFBF2">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A </w:t>
      </w:r>
      <w:r w:rsidRPr="00962101" w:rsidR="003305FE">
        <w:rPr>
          <w:sz w:val="24"/>
          <w:szCs w:val="24"/>
        </w:rPr>
        <w:t>Technician’s</w:t>
      </w:r>
      <w:r w:rsidRPr="00962101" w:rsidR="001C785B">
        <w:rPr>
          <w:sz w:val="24"/>
          <w:szCs w:val="24"/>
        </w:rPr>
        <w:t xml:space="preserve"> survey has been run and response</w:t>
      </w:r>
      <w:r w:rsidRPr="00962101" w:rsidR="00AC559D">
        <w:rPr>
          <w:sz w:val="24"/>
          <w:szCs w:val="24"/>
        </w:rPr>
        <w:t>s</w:t>
      </w:r>
      <w:r w:rsidRPr="00962101" w:rsidR="001C785B">
        <w:rPr>
          <w:sz w:val="24"/>
          <w:szCs w:val="24"/>
        </w:rPr>
        <w:t xml:space="preserve"> analysed, which has informed </w:t>
      </w:r>
      <w:r w:rsidRPr="00962101" w:rsidR="00346593">
        <w:rPr>
          <w:sz w:val="24"/>
          <w:szCs w:val="24"/>
        </w:rPr>
        <w:t xml:space="preserve">elements of </w:t>
      </w:r>
      <w:r w:rsidRPr="00962101" w:rsidR="001C785B">
        <w:rPr>
          <w:sz w:val="24"/>
          <w:szCs w:val="24"/>
        </w:rPr>
        <w:t>the action plan</w:t>
      </w:r>
      <w:r w:rsidRPr="00962101" w:rsidR="00384AF7">
        <w:rPr>
          <w:sz w:val="24"/>
          <w:szCs w:val="24"/>
        </w:rPr>
        <w:t>.</w:t>
      </w:r>
      <w:r w:rsidRPr="00962101" w:rsidR="001C785B">
        <w:rPr>
          <w:sz w:val="24"/>
          <w:szCs w:val="24"/>
        </w:rPr>
        <w:t xml:space="preserve"> </w:t>
      </w:r>
    </w:p>
    <w:p w:rsidRPr="00962101" w:rsidR="00355F96" w:rsidP="00DC192F" w:rsidRDefault="00355F96" w14:paraId="726585D6" w14:textId="45DFCA8D">
      <w:pPr>
        <w:pBdr>
          <w:top w:val="single" w:color="auto" w:sz="4" w:space="1"/>
          <w:left w:val="single" w:color="auto" w:sz="4" w:space="4"/>
          <w:bottom w:val="single" w:color="auto" w:sz="4" w:space="1"/>
          <w:right w:val="single" w:color="auto" w:sz="4" w:space="4"/>
        </w:pBdr>
        <w:rPr>
          <w:sz w:val="24"/>
          <w:szCs w:val="24"/>
        </w:rPr>
      </w:pPr>
      <w:r w:rsidRPr="00962101">
        <w:rPr>
          <w:sz w:val="24"/>
          <w:szCs w:val="24"/>
        </w:rPr>
        <w:t>Steps have been taken with Athena SWAN Leads to encourage Technicians to sit on the Athena SWAN steering groups and pla</w:t>
      </w:r>
      <w:r w:rsidRPr="00962101" w:rsidR="001C785B">
        <w:rPr>
          <w:sz w:val="24"/>
          <w:szCs w:val="24"/>
        </w:rPr>
        <w:t>y an active role</w:t>
      </w:r>
      <w:r w:rsidRPr="00962101" w:rsidR="00384AF7">
        <w:rPr>
          <w:sz w:val="24"/>
          <w:szCs w:val="24"/>
        </w:rPr>
        <w:t>.</w:t>
      </w:r>
    </w:p>
    <w:p w:rsidRPr="00962101" w:rsidR="003E7134" w:rsidP="00DC192F" w:rsidRDefault="003E7134" w14:paraId="1B3B3FE4" w14:textId="3D78F4CA">
      <w:pPr>
        <w:pBdr>
          <w:top w:val="single" w:color="auto" w:sz="4" w:space="1"/>
          <w:left w:val="single" w:color="auto" w:sz="4" w:space="4"/>
          <w:bottom w:val="single" w:color="auto" w:sz="4" w:space="1"/>
          <w:right w:val="single" w:color="auto" w:sz="4" w:space="4"/>
        </w:pBdr>
        <w:rPr>
          <w:sz w:val="24"/>
          <w:szCs w:val="24"/>
        </w:rPr>
      </w:pPr>
      <w:r w:rsidRPr="00962101">
        <w:rPr>
          <w:sz w:val="24"/>
          <w:szCs w:val="24"/>
        </w:rPr>
        <w:t>We have developed a web page on the OD&amp;PL site for the Technician’s Commitment.</w:t>
      </w:r>
    </w:p>
    <w:p w:rsidR="001C785B" w:rsidP="00DC192F" w:rsidRDefault="001C785B" w14:paraId="67E3768F" w14:textId="0260233B">
      <w:pPr>
        <w:pBdr>
          <w:top w:val="single" w:color="auto" w:sz="4" w:space="1"/>
          <w:left w:val="single" w:color="auto" w:sz="4" w:space="4"/>
          <w:bottom w:val="single" w:color="auto" w:sz="4" w:space="1"/>
          <w:right w:val="single" w:color="auto" w:sz="4" w:space="4"/>
        </w:pBdr>
        <w:rPr>
          <w:b/>
          <w:sz w:val="24"/>
          <w:szCs w:val="24"/>
          <w:u w:val="single"/>
        </w:rPr>
      </w:pPr>
      <w:r w:rsidRPr="001C785B">
        <w:rPr>
          <w:b/>
          <w:sz w:val="24"/>
          <w:szCs w:val="24"/>
          <w:u w:val="single"/>
        </w:rPr>
        <w:t>Recognition</w:t>
      </w:r>
    </w:p>
    <w:p w:rsidRPr="00962101" w:rsidR="00032527" w:rsidP="00DC192F" w:rsidRDefault="00384AF7" w14:paraId="471E7F58" w14:textId="127C4E98">
      <w:pPr>
        <w:pBdr>
          <w:top w:val="single" w:color="auto" w:sz="4" w:space="1"/>
          <w:left w:val="single" w:color="auto" w:sz="4" w:space="4"/>
          <w:bottom w:val="single" w:color="auto" w:sz="4" w:space="1"/>
          <w:right w:val="single" w:color="auto" w:sz="4" w:space="4"/>
        </w:pBdr>
        <w:rPr>
          <w:sz w:val="24"/>
          <w:szCs w:val="24"/>
        </w:rPr>
      </w:pPr>
      <w:r w:rsidRPr="00962101">
        <w:rPr>
          <w:sz w:val="24"/>
          <w:szCs w:val="24"/>
        </w:rPr>
        <w:t>At</w:t>
      </w:r>
      <w:r w:rsidRPr="00962101" w:rsidR="00190105">
        <w:rPr>
          <w:sz w:val="24"/>
          <w:szCs w:val="24"/>
        </w:rPr>
        <w:t xml:space="preserve"> an institutional level </w:t>
      </w:r>
      <w:r w:rsidRPr="00962101">
        <w:rPr>
          <w:sz w:val="24"/>
          <w:szCs w:val="24"/>
        </w:rPr>
        <w:t xml:space="preserve">we </w:t>
      </w:r>
      <w:r w:rsidRPr="00962101" w:rsidR="00190105">
        <w:rPr>
          <w:sz w:val="24"/>
          <w:szCs w:val="24"/>
        </w:rPr>
        <w:t>publicise individual/team achievements on the University intranet for staff site</w:t>
      </w:r>
      <w:r w:rsidRPr="00962101">
        <w:rPr>
          <w:sz w:val="24"/>
          <w:szCs w:val="24"/>
        </w:rPr>
        <w:t>.</w:t>
      </w:r>
    </w:p>
    <w:p w:rsidRPr="00CD314B" w:rsidR="00190105" w:rsidP="00DC192F" w:rsidRDefault="00190105" w14:paraId="4B894D96" w14:textId="40E428B2">
      <w:pPr>
        <w:pBdr>
          <w:top w:val="single" w:color="auto" w:sz="4" w:space="1"/>
          <w:left w:val="single" w:color="auto" w:sz="4" w:space="4"/>
          <w:bottom w:val="single" w:color="auto" w:sz="4" w:space="1"/>
          <w:right w:val="single" w:color="auto" w:sz="4" w:space="4"/>
        </w:pBdr>
        <w:rPr>
          <w:sz w:val="24"/>
          <w:szCs w:val="24"/>
        </w:rPr>
      </w:pPr>
      <w:r w:rsidRPr="00CD314B">
        <w:rPr>
          <w:sz w:val="24"/>
          <w:szCs w:val="24"/>
        </w:rPr>
        <w:t>We continue to promote the reward and recognition scheme to managers</w:t>
      </w:r>
      <w:r w:rsidRPr="00CD314B" w:rsidR="00131EFA">
        <w:rPr>
          <w:sz w:val="24"/>
          <w:szCs w:val="24"/>
        </w:rPr>
        <w:t>, including the benefits of using the new reward portal to recognise staff achievements in a more</w:t>
      </w:r>
      <w:r w:rsidR="00CD314B">
        <w:rPr>
          <w:sz w:val="24"/>
          <w:szCs w:val="24"/>
        </w:rPr>
        <w:t xml:space="preserve"> </w:t>
      </w:r>
      <w:r w:rsidRPr="00CD314B" w:rsidR="00131EFA">
        <w:rPr>
          <w:sz w:val="24"/>
          <w:szCs w:val="24"/>
        </w:rPr>
        <w:t>timely manner.</w:t>
      </w:r>
      <w:r w:rsidRPr="00CD314B">
        <w:rPr>
          <w:sz w:val="24"/>
          <w:szCs w:val="24"/>
        </w:rPr>
        <w:t xml:space="preserve"> </w:t>
      </w:r>
    </w:p>
    <w:p w:rsidRPr="001C785B" w:rsidR="001C785B" w:rsidP="00DC192F" w:rsidRDefault="001C785B" w14:paraId="17C75D95" w14:textId="698E746F">
      <w:pPr>
        <w:pBdr>
          <w:top w:val="single" w:color="auto" w:sz="4" w:space="1"/>
          <w:left w:val="single" w:color="auto" w:sz="4" w:space="4"/>
          <w:bottom w:val="single" w:color="auto" w:sz="4" w:space="1"/>
          <w:right w:val="single" w:color="auto" w:sz="4" w:space="4"/>
        </w:pBdr>
        <w:rPr>
          <w:b/>
          <w:sz w:val="24"/>
          <w:szCs w:val="24"/>
          <w:u w:val="single"/>
        </w:rPr>
      </w:pPr>
      <w:r w:rsidRPr="001C785B">
        <w:rPr>
          <w:b/>
          <w:sz w:val="24"/>
          <w:szCs w:val="24"/>
          <w:u w:val="single"/>
        </w:rPr>
        <w:t>Career Development</w:t>
      </w:r>
    </w:p>
    <w:p w:rsidRPr="00962101" w:rsidR="004D55BC" w:rsidP="00DC192F" w:rsidRDefault="004D55BC" w14:paraId="3CF4596E" w14:textId="728C74A3">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In terms of career development work has and continues in respect of </w:t>
      </w:r>
      <w:r w:rsidRPr="00962101" w:rsidR="00131EFA">
        <w:rPr>
          <w:sz w:val="24"/>
          <w:szCs w:val="24"/>
        </w:rPr>
        <w:t xml:space="preserve">realigning/refocusing </w:t>
      </w:r>
      <w:r w:rsidRPr="00962101">
        <w:rPr>
          <w:sz w:val="24"/>
          <w:szCs w:val="24"/>
        </w:rPr>
        <w:t xml:space="preserve">technical services structures </w:t>
      </w:r>
      <w:r w:rsidRPr="00962101" w:rsidR="00131EFA">
        <w:rPr>
          <w:sz w:val="24"/>
          <w:szCs w:val="24"/>
        </w:rPr>
        <w:t>with the aim of providing opportunities for networking, staff development and a clear transparent career pathway</w:t>
      </w:r>
      <w:r w:rsidRPr="00962101" w:rsidR="00685F13">
        <w:rPr>
          <w:sz w:val="24"/>
          <w:szCs w:val="24"/>
        </w:rPr>
        <w:t xml:space="preserve"> across the university</w:t>
      </w:r>
      <w:r w:rsidRPr="00962101" w:rsidR="00131EFA">
        <w:rPr>
          <w:sz w:val="24"/>
          <w:szCs w:val="24"/>
        </w:rPr>
        <w:t>.</w:t>
      </w:r>
      <w:r w:rsidRPr="00962101">
        <w:rPr>
          <w:sz w:val="24"/>
          <w:szCs w:val="24"/>
        </w:rPr>
        <w:t xml:space="preserve"> </w:t>
      </w:r>
    </w:p>
    <w:p w:rsidRPr="00962101" w:rsidR="00131EFA" w:rsidP="00DC192F" w:rsidRDefault="00131EFA" w14:paraId="01BB158C" w14:textId="6105BF65">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Work on standardising job descriptions has started but is in the very early stages of development. </w:t>
      </w:r>
    </w:p>
    <w:p w:rsidRPr="00962101" w:rsidR="001C785B" w:rsidP="00DC192F" w:rsidRDefault="00AC559D" w14:paraId="6E7A53BF" w14:textId="79F16733">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We support attendance </w:t>
      </w:r>
      <w:r w:rsidRPr="00962101" w:rsidR="001C785B">
        <w:rPr>
          <w:sz w:val="24"/>
          <w:szCs w:val="24"/>
        </w:rPr>
        <w:t>and participation at the NE</w:t>
      </w:r>
      <w:r w:rsidRPr="00962101" w:rsidR="00A34231">
        <w:rPr>
          <w:sz w:val="24"/>
          <w:szCs w:val="24"/>
        </w:rPr>
        <w:t xml:space="preserve"> </w:t>
      </w:r>
      <w:r w:rsidRPr="00962101" w:rsidR="001C785B">
        <w:rPr>
          <w:sz w:val="24"/>
          <w:szCs w:val="24"/>
        </w:rPr>
        <w:t>&amp; Yorkshire University meeting where</w:t>
      </w:r>
      <w:r w:rsidRPr="00962101">
        <w:rPr>
          <w:sz w:val="24"/>
          <w:szCs w:val="24"/>
        </w:rPr>
        <w:t>, last time,</w:t>
      </w:r>
      <w:r w:rsidRPr="00962101" w:rsidR="001C785B">
        <w:rPr>
          <w:sz w:val="24"/>
          <w:szCs w:val="24"/>
        </w:rPr>
        <w:t xml:space="preserve"> representatives from Leeds explored ways of working together to share good practice with counterparts from other universities</w:t>
      </w:r>
    </w:p>
    <w:p w:rsidRPr="00CD314B" w:rsidR="00190105" w:rsidP="00190105" w:rsidRDefault="00AC559D" w14:paraId="2C60A701" w14:textId="66E50269">
      <w:pPr>
        <w:pBdr>
          <w:top w:val="single" w:color="auto" w:sz="4" w:space="1"/>
          <w:left w:val="single" w:color="auto" w:sz="4" w:space="4"/>
          <w:bottom w:val="single" w:color="auto" w:sz="4" w:space="1"/>
          <w:right w:val="single" w:color="auto" w:sz="4" w:space="4"/>
        </w:pBdr>
        <w:rPr>
          <w:sz w:val="24"/>
          <w:szCs w:val="24"/>
        </w:rPr>
      </w:pPr>
      <w:r w:rsidRPr="00CD314B">
        <w:rPr>
          <w:sz w:val="24"/>
          <w:szCs w:val="24"/>
        </w:rPr>
        <w:t>W</w:t>
      </w:r>
      <w:r w:rsidRPr="00CD314B" w:rsidR="003E7134">
        <w:rPr>
          <w:sz w:val="24"/>
          <w:szCs w:val="24"/>
        </w:rPr>
        <w:t xml:space="preserve">e continue to </w:t>
      </w:r>
      <w:r w:rsidRPr="00CD314B">
        <w:rPr>
          <w:sz w:val="24"/>
          <w:szCs w:val="24"/>
        </w:rPr>
        <w:t xml:space="preserve">encourage and support applications for </w:t>
      </w:r>
      <w:r w:rsidRPr="00CD314B" w:rsidR="003E7134">
        <w:rPr>
          <w:sz w:val="24"/>
          <w:szCs w:val="24"/>
        </w:rPr>
        <w:t>Professional Registration through our communications and at work shop events.</w:t>
      </w:r>
    </w:p>
    <w:p w:rsidRPr="00962101" w:rsidR="00190105" w:rsidP="00190105" w:rsidRDefault="00AC559D" w14:paraId="12F393AE" w14:textId="63EEBD13">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Our </w:t>
      </w:r>
      <w:r w:rsidRPr="00962101" w:rsidR="00D535A9">
        <w:rPr>
          <w:sz w:val="24"/>
          <w:szCs w:val="24"/>
        </w:rPr>
        <w:t>FBS</w:t>
      </w:r>
      <w:r w:rsidRPr="00962101" w:rsidR="00190105">
        <w:rPr>
          <w:sz w:val="24"/>
          <w:szCs w:val="24"/>
        </w:rPr>
        <w:t xml:space="preserve"> Technicians conference, has included showcasing technical skills,</w:t>
      </w:r>
      <w:r w:rsidRPr="00962101">
        <w:rPr>
          <w:sz w:val="24"/>
          <w:szCs w:val="24"/>
        </w:rPr>
        <w:t xml:space="preserve"> and encourages</w:t>
      </w:r>
      <w:r w:rsidRPr="00962101" w:rsidR="00190105">
        <w:rPr>
          <w:sz w:val="24"/>
          <w:szCs w:val="24"/>
        </w:rPr>
        <w:t xml:space="preserve"> knowledge sharing amongst the teams </w:t>
      </w:r>
    </w:p>
    <w:p w:rsidRPr="00962101" w:rsidR="00190105" w:rsidP="00190105" w:rsidRDefault="00AC559D" w14:paraId="2575242C" w14:textId="58D86076">
      <w:pPr>
        <w:pBdr>
          <w:top w:val="single" w:color="auto" w:sz="4" w:space="1"/>
          <w:left w:val="single" w:color="auto" w:sz="4" w:space="4"/>
          <w:bottom w:val="single" w:color="auto" w:sz="4" w:space="1"/>
          <w:right w:val="single" w:color="auto" w:sz="4" w:space="4"/>
        </w:pBdr>
        <w:rPr>
          <w:sz w:val="24"/>
          <w:szCs w:val="24"/>
        </w:rPr>
      </w:pPr>
      <w:r w:rsidRPr="00962101">
        <w:rPr>
          <w:sz w:val="24"/>
          <w:szCs w:val="24"/>
        </w:rPr>
        <w:t>In addition, w</w:t>
      </w:r>
      <w:r w:rsidRPr="00962101" w:rsidR="00190105">
        <w:rPr>
          <w:sz w:val="24"/>
          <w:szCs w:val="24"/>
        </w:rPr>
        <w:t>orkshops</w:t>
      </w:r>
      <w:r w:rsidRPr="00962101" w:rsidR="00384AF7">
        <w:rPr>
          <w:sz w:val="24"/>
          <w:szCs w:val="24"/>
        </w:rPr>
        <w:t xml:space="preserve"> have taken place </w:t>
      </w:r>
      <w:r w:rsidRPr="00962101" w:rsidR="00190105">
        <w:rPr>
          <w:sz w:val="24"/>
          <w:szCs w:val="24"/>
        </w:rPr>
        <w:t>in some Faculties which have raised awareness of the Technicians Commitment. Other workshops are being scheduled to take place across the current academic year</w:t>
      </w:r>
    </w:p>
    <w:p w:rsidRPr="001C785B" w:rsidR="00DC192F" w:rsidP="00DC192F" w:rsidRDefault="001C785B" w14:paraId="706D57AE" w14:textId="233DCDF6">
      <w:pPr>
        <w:pBdr>
          <w:top w:val="single" w:color="auto" w:sz="4" w:space="1"/>
          <w:left w:val="single" w:color="auto" w:sz="4" w:space="4"/>
          <w:bottom w:val="single" w:color="auto" w:sz="4" w:space="1"/>
          <w:right w:val="single" w:color="auto" w:sz="4" w:space="4"/>
        </w:pBdr>
        <w:rPr>
          <w:b/>
          <w:sz w:val="24"/>
          <w:szCs w:val="24"/>
          <w:u w:val="single"/>
        </w:rPr>
      </w:pPr>
      <w:r w:rsidRPr="001C785B">
        <w:rPr>
          <w:b/>
          <w:sz w:val="24"/>
          <w:szCs w:val="24"/>
          <w:u w:val="single"/>
        </w:rPr>
        <w:t>Sustainability</w:t>
      </w:r>
    </w:p>
    <w:p w:rsidRPr="00962101" w:rsidR="00DC192F" w:rsidP="00DC192F" w:rsidRDefault="00AC559D" w14:paraId="2DC9A8F2" w14:textId="7F556758">
      <w:pPr>
        <w:pBdr>
          <w:top w:val="single" w:color="auto" w:sz="4" w:space="1"/>
          <w:left w:val="single" w:color="auto" w:sz="4" w:space="4"/>
          <w:bottom w:val="single" w:color="auto" w:sz="4" w:space="1"/>
          <w:right w:val="single" w:color="auto" w:sz="4" w:space="4"/>
        </w:pBdr>
        <w:rPr>
          <w:sz w:val="24"/>
          <w:szCs w:val="24"/>
        </w:rPr>
      </w:pPr>
      <w:r w:rsidRPr="00962101">
        <w:rPr>
          <w:sz w:val="24"/>
          <w:szCs w:val="24"/>
        </w:rPr>
        <w:t>W</w:t>
      </w:r>
      <w:r w:rsidRPr="00962101" w:rsidR="009263CB">
        <w:rPr>
          <w:sz w:val="24"/>
          <w:szCs w:val="24"/>
        </w:rPr>
        <w:t xml:space="preserve">ork has started </w:t>
      </w:r>
      <w:r w:rsidRPr="00962101" w:rsidR="00131EFA">
        <w:rPr>
          <w:sz w:val="24"/>
          <w:szCs w:val="24"/>
        </w:rPr>
        <w:t>in the Faculties of Medicine and Health</w:t>
      </w:r>
      <w:r w:rsidRPr="00962101" w:rsidR="00A34231">
        <w:rPr>
          <w:sz w:val="24"/>
          <w:szCs w:val="24"/>
        </w:rPr>
        <w:t>, Engineering</w:t>
      </w:r>
      <w:r w:rsidRPr="00962101" w:rsidR="00131EFA">
        <w:rPr>
          <w:sz w:val="24"/>
          <w:szCs w:val="24"/>
        </w:rPr>
        <w:t xml:space="preserve"> and Biological Sciences </w:t>
      </w:r>
      <w:r w:rsidRPr="00962101" w:rsidR="009263CB">
        <w:rPr>
          <w:sz w:val="24"/>
          <w:szCs w:val="24"/>
        </w:rPr>
        <w:t xml:space="preserve">on developing </w:t>
      </w:r>
      <w:r w:rsidRPr="00962101">
        <w:rPr>
          <w:sz w:val="24"/>
          <w:szCs w:val="24"/>
        </w:rPr>
        <w:t xml:space="preserve">a </w:t>
      </w:r>
      <w:r w:rsidRPr="00962101" w:rsidR="009263CB">
        <w:rPr>
          <w:sz w:val="24"/>
          <w:szCs w:val="24"/>
        </w:rPr>
        <w:t>skills matrix</w:t>
      </w:r>
      <w:r w:rsidRPr="00962101">
        <w:rPr>
          <w:sz w:val="24"/>
          <w:szCs w:val="24"/>
        </w:rPr>
        <w:t>.</w:t>
      </w:r>
      <w:r w:rsidRPr="00962101" w:rsidR="009263CB">
        <w:rPr>
          <w:sz w:val="24"/>
          <w:szCs w:val="24"/>
        </w:rPr>
        <w:t xml:space="preserve"> </w:t>
      </w:r>
      <w:r w:rsidRPr="00962101">
        <w:rPr>
          <w:sz w:val="24"/>
          <w:szCs w:val="24"/>
        </w:rPr>
        <w:t xml:space="preserve">This, together with </w:t>
      </w:r>
      <w:r w:rsidRPr="00962101" w:rsidR="009263CB">
        <w:rPr>
          <w:sz w:val="24"/>
          <w:szCs w:val="24"/>
        </w:rPr>
        <w:t>the future work on standardising job descriptions and the refocusing/realigning technical services structures to support career development will ensure the future sustainability of the technician workforce</w:t>
      </w:r>
      <w:r w:rsidRPr="00962101" w:rsidR="00131EFA">
        <w:rPr>
          <w:sz w:val="24"/>
          <w:szCs w:val="24"/>
        </w:rPr>
        <w:t>.</w:t>
      </w:r>
    </w:p>
    <w:p w:rsidRPr="00962101" w:rsidR="009263CB" w:rsidP="00DC192F" w:rsidRDefault="009263CB" w14:paraId="5E6B19DE" w14:textId="0A6A97E1">
      <w:pPr>
        <w:pBdr>
          <w:top w:val="single" w:color="auto" w:sz="4" w:space="1"/>
          <w:left w:val="single" w:color="auto" w:sz="4" w:space="4"/>
          <w:bottom w:val="single" w:color="auto" w:sz="4" w:space="1"/>
          <w:right w:val="single" w:color="auto" w:sz="4" w:space="4"/>
        </w:pBdr>
        <w:rPr>
          <w:sz w:val="24"/>
          <w:szCs w:val="24"/>
        </w:rPr>
      </w:pPr>
      <w:r w:rsidRPr="00962101">
        <w:rPr>
          <w:sz w:val="24"/>
          <w:szCs w:val="24"/>
        </w:rPr>
        <w:t>Human Resources</w:t>
      </w:r>
      <w:r w:rsidRPr="00962101" w:rsidR="00AC559D">
        <w:rPr>
          <w:sz w:val="24"/>
          <w:szCs w:val="24"/>
        </w:rPr>
        <w:t xml:space="preserve"> colleagues</w:t>
      </w:r>
      <w:r w:rsidRPr="00962101">
        <w:rPr>
          <w:sz w:val="24"/>
          <w:szCs w:val="24"/>
        </w:rPr>
        <w:t xml:space="preserve"> are working with individual faculties to progress apprenticeships</w:t>
      </w:r>
      <w:r w:rsidRPr="00962101" w:rsidR="003E7134">
        <w:rPr>
          <w:sz w:val="24"/>
          <w:szCs w:val="24"/>
        </w:rPr>
        <w:t>.</w:t>
      </w:r>
    </w:p>
    <w:p w:rsidRPr="00962101" w:rsidR="003E7134" w:rsidP="00DC192F" w:rsidRDefault="003E7134" w14:paraId="6ED6CB4E" w14:textId="08A196C6">
      <w:pPr>
        <w:pBdr>
          <w:top w:val="single" w:color="auto" w:sz="4" w:space="1"/>
          <w:left w:val="single" w:color="auto" w:sz="4" w:space="4"/>
          <w:bottom w:val="single" w:color="auto" w:sz="4" w:space="1"/>
          <w:right w:val="single" w:color="auto" w:sz="4" w:space="4"/>
        </w:pBdr>
        <w:rPr>
          <w:sz w:val="24"/>
          <w:szCs w:val="24"/>
        </w:rPr>
      </w:pPr>
      <w:r w:rsidRPr="00962101">
        <w:rPr>
          <w:sz w:val="24"/>
          <w:szCs w:val="24"/>
        </w:rPr>
        <w:t xml:space="preserve">We are monitoring progress against the action plan at the Technician Commitment </w:t>
      </w:r>
      <w:r w:rsidRPr="00962101" w:rsidR="00AC559D">
        <w:rPr>
          <w:sz w:val="24"/>
          <w:szCs w:val="24"/>
        </w:rPr>
        <w:t xml:space="preserve">quarterly </w:t>
      </w:r>
      <w:r w:rsidRPr="00962101">
        <w:rPr>
          <w:sz w:val="24"/>
          <w:szCs w:val="24"/>
        </w:rPr>
        <w:t>committee meeting</w:t>
      </w:r>
      <w:r w:rsidRPr="00962101" w:rsidR="00685F13">
        <w:rPr>
          <w:sz w:val="24"/>
          <w:szCs w:val="24"/>
        </w:rPr>
        <w:t>s</w:t>
      </w:r>
      <w:r w:rsidRPr="00962101">
        <w:rPr>
          <w:sz w:val="24"/>
          <w:szCs w:val="24"/>
        </w:rPr>
        <w:t>. Each member of the committee has been allocated actions to progress</w:t>
      </w:r>
      <w:r w:rsidRPr="00962101" w:rsidR="00384AF7">
        <w:rPr>
          <w:sz w:val="24"/>
          <w:szCs w:val="24"/>
        </w:rPr>
        <w:t>.</w:t>
      </w:r>
      <w:r w:rsidRPr="00962101">
        <w:rPr>
          <w:sz w:val="24"/>
          <w:szCs w:val="24"/>
        </w:rPr>
        <w:t xml:space="preserve"> </w:t>
      </w:r>
    </w:p>
    <w:p w:rsidR="009263CB" w:rsidP="00DC192F" w:rsidRDefault="009263CB" w14:paraId="3A897214" w14:textId="6F745EF0">
      <w:pPr>
        <w:pBdr>
          <w:top w:val="single" w:color="auto" w:sz="4" w:space="1"/>
          <w:left w:val="single" w:color="auto" w:sz="4" w:space="4"/>
          <w:bottom w:val="single" w:color="auto" w:sz="4" w:space="1"/>
          <w:right w:val="single" w:color="auto" w:sz="4" w:space="4"/>
        </w:pBdr>
        <w:rPr>
          <w:sz w:val="24"/>
          <w:szCs w:val="24"/>
        </w:rPr>
      </w:pPr>
      <w:r>
        <w:rPr>
          <w:sz w:val="24"/>
          <w:szCs w:val="24"/>
        </w:rPr>
        <w:t xml:space="preserve"> </w:t>
      </w:r>
    </w:p>
    <w:p w:rsidR="00DC192F" w:rsidP="00DC192F" w:rsidRDefault="00DC192F" w14:paraId="2C6313C6" w14:textId="77777777">
      <w:pPr>
        <w:pBdr>
          <w:top w:val="single" w:color="auto" w:sz="4" w:space="1"/>
          <w:left w:val="single" w:color="auto" w:sz="4" w:space="4"/>
          <w:bottom w:val="single" w:color="auto" w:sz="4" w:space="1"/>
          <w:right w:val="single" w:color="auto" w:sz="4" w:space="4"/>
        </w:pBdr>
        <w:rPr>
          <w:sz w:val="24"/>
          <w:szCs w:val="24"/>
        </w:rPr>
      </w:pPr>
    </w:p>
    <w:p w:rsidR="00DC192F" w:rsidP="00DC192F" w:rsidRDefault="00DC192F" w14:paraId="6FFA4DD2" w14:textId="77777777">
      <w:pPr>
        <w:pBdr>
          <w:top w:val="single" w:color="auto" w:sz="4" w:space="1"/>
          <w:left w:val="single" w:color="auto" w:sz="4" w:space="4"/>
          <w:bottom w:val="single" w:color="auto" w:sz="4" w:space="1"/>
          <w:right w:val="single" w:color="auto" w:sz="4" w:space="4"/>
        </w:pBdr>
        <w:rPr>
          <w:sz w:val="24"/>
          <w:szCs w:val="24"/>
        </w:rPr>
      </w:pPr>
    </w:p>
    <w:p w:rsidR="005E2F3C" w:rsidP="00DC192F" w:rsidRDefault="005E2F3C" w14:paraId="708868A6" w14:textId="77777777">
      <w:pPr>
        <w:pBdr>
          <w:top w:val="single" w:color="auto" w:sz="4" w:space="1"/>
          <w:left w:val="single" w:color="auto" w:sz="4" w:space="4"/>
          <w:bottom w:val="single" w:color="auto" w:sz="4" w:space="1"/>
          <w:right w:val="single" w:color="auto" w:sz="4" w:space="4"/>
        </w:pBdr>
        <w:rPr>
          <w:sz w:val="24"/>
          <w:szCs w:val="24"/>
        </w:rPr>
      </w:pPr>
    </w:p>
    <w:p w:rsidR="005E2F3C" w:rsidP="00DC192F" w:rsidRDefault="005E2F3C" w14:paraId="3C238FC8" w14:textId="77777777">
      <w:pPr>
        <w:pBdr>
          <w:top w:val="single" w:color="auto" w:sz="4" w:space="1"/>
          <w:left w:val="single" w:color="auto" w:sz="4" w:space="4"/>
          <w:bottom w:val="single" w:color="auto" w:sz="4" w:space="1"/>
          <w:right w:val="single" w:color="auto" w:sz="4" w:space="4"/>
        </w:pBdr>
        <w:rPr>
          <w:sz w:val="24"/>
          <w:szCs w:val="24"/>
        </w:rPr>
      </w:pPr>
    </w:p>
    <w:p w:rsidR="00DC192F" w:rsidP="00DC192F" w:rsidRDefault="00DC192F" w14:paraId="3B4FBFA7" w14:textId="77777777">
      <w:pPr>
        <w:pBdr>
          <w:top w:val="single" w:color="auto" w:sz="4" w:space="1"/>
          <w:left w:val="single" w:color="auto" w:sz="4" w:space="4"/>
          <w:bottom w:val="single" w:color="auto" w:sz="4" w:space="1"/>
          <w:right w:val="single" w:color="auto" w:sz="4" w:space="4"/>
        </w:pBdr>
        <w:rPr>
          <w:sz w:val="24"/>
          <w:szCs w:val="24"/>
        </w:rPr>
      </w:pPr>
    </w:p>
    <w:p w:rsidR="00DC192F" w:rsidP="00DC192F" w:rsidRDefault="00DC192F" w14:paraId="7D7834E4" w14:textId="77777777">
      <w:pPr>
        <w:pBdr>
          <w:top w:val="single" w:color="auto" w:sz="4" w:space="1"/>
          <w:left w:val="single" w:color="auto" w:sz="4" w:space="4"/>
          <w:bottom w:val="single" w:color="auto" w:sz="4" w:space="1"/>
          <w:right w:val="single" w:color="auto" w:sz="4" w:space="4"/>
        </w:pBdr>
        <w:rPr>
          <w:sz w:val="24"/>
          <w:szCs w:val="24"/>
        </w:rPr>
      </w:pPr>
    </w:p>
    <w:p w:rsidR="00790603" w:rsidP="00DC192F" w:rsidRDefault="00790603" w14:paraId="5EAFD23C" w14:textId="77777777">
      <w:pPr>
        <w:pBdr>
          <w:top w:val="single" w:color="auto" w:sz="4" w:space="1"/>
          <w:left w:val="single" w:color="auto" w:sz="4" w:space="4"/>
          <w:bottom w:val="single" w:color="auto" w:sz="4" w:space="1"/>
          <w:right w:val="single" w:color="auto" w:sz="4" w:space="4"/>
        </w:pBdr>
        <w:rPr>
          <w:sz w:val="24"/>
          <w:szCs w:val="24"/>
        </w:rPr>
      </w:pPr>
    </w:p>
    <w:p w:rsidRPr="00C77045" w:rsidR="00DC192F" w:rsidP="00DC192F" w:rsidRDefault="00DC192F" w14:paraId="07921D1F" w14:textId="77777777">
      <w:pPr>
        <w:pBdr>
          <w:top w:val="single" w:color="auto" w:sz="4" w:space="1"/>
          <w:left w:val="single" w:color="auto" w:sz="4" w:space="4"/>
          <w:bottom w:val="single" w:color="auto" w:sz="4" w:space="1"/>
          <w:right w:val="single" w:color="auto" w:sz="4" w:space="4"/>
        </w:pBdr>
        <w:rPr>
          <w:sz w:val="24"/>
          <w:szCs w:val="24"/>
        </w:rPr>
      </w:pPr>
    </w:p>
    <w:p w:rsidR="002D5FB8" w:rsidP="00032467" w:rsidRDefault="002D5FB8" w14:paraId="0B73DF58" w14:textId="77777777"/>
    <w:p w:rsidR="10C84497" w:rsidP="10C84497" w:rsidRDefault="10C84497" w14:noSpellErr="1" w14:paraId="744691DA" w14:textId="259BB5D4">
      <w:pPr>
        <w:rPr>
          <w:sz w:val="24"/>
          <w:szCs w:val="24"/>
        </w:rPr>
      </w:pPr>
    </w:p>
    <w:p w:rsidR="10C84497" w:rsidP="10C84497" w:rsidRDefault="10C84497" w14:noSpellErr="1" w14:paraId="623CA009" w14:textId="53AAD114">
      <w:pPr>
        <w:rPr>
          <w:sz w:val="24"/>
          <w:szCs w:val="24"/>
        </w:rPr>
      </w:pPr>
    </w:p>
    <w:p w:rsidR="10C84497" w:rsidP="10C84497" w:rsidRDefault="10C84497" w14:noSpellErr="1" w14:paraId="32E5F14D" w14:textId="6B771915">
      <w:pPr>
        <w:rPr>
          <w:sz w:val="24"/>
          <w:szCs w:val="24"/>
        </w:rPr>
      </w:pPr>
    </w:p>
    <w:p w:rsidR="10C84497" w:rsidP="10C84497" w:rsidRDefault="10C84497" w14:noSpellErr="1" w14:paraId="72FF3E2A" w14:textId="6741653D">
      <w:pPr>
        <w:rPr>
          <w:sz w:val="24"/>
          <w:szCs w:val="24"/>
        </w:rPr>
      </w:pPr>
    </w:p>
    <w:p w:rsidR="10C84497" w:rsidP="10C84497" w:rsidRDefault="10C84497" w14:noSpellErr="1" w14:paraId="10ABA06E" w14:textId="24725E82">
      <w:pPr>
        <w:rPr>
          <w:sz w:val="24"/>
          <w:szCs w:val="24"/>
        </w:rPr>
      </w:pPr>
    </w:p>
    <w:p w:rsidR="10C84497" w:rsidP="10C84497" w:rsidRDefault="10C84497" w14:noSpellErr="1" w14:paraId="70C2BF58" w14:textId="6C0571F1">
      <w:pPr>
        <w:rPr>
          <w:sz w:val="24"/>
          <w:szCs w:val="24"/>
        </w:rPr>
      </w:pPr>
    </w:p>
    <w:p w:rsidR="10C84497" w:rsidP="10C84497" w:rsidRDefault="10C84497" w14:noSpellErr="1" w14:paraId="6F4E7DCB" w14:textId="3228F8C3">
      <w:pPr>
        <w:rPr>
          <w:sz w:val="24"/>
          <w:szCs w:val="24"/>
        </w:rPr>
      </w:pPr>
    </w:p>
    <w:p w:rsidR="10C84497" w:rsidP="10C84497" w:rsidRDefault="10C84497" w14:noSpellErr="1" w14:paraId="4BD784E9" w14:textId="2007FEC4">
      <w:pPr>
        <w:rPr>
          <w:sz w:val="24"/>
          <w:szCs w:val="24"/>
        </w:rPr>
      </w:pPr>
    </w:p>
    <w:p w:rsidR="10C84497" w:rsidP="10C84497" w:rsidRDefault="10C84497" w14:noSpellErr="1" w14:paraId="4F457603" w14:textId="397ACFA9">
      <w:pPr>
        <w:rPr>
          <w:sz w:val="24"/>
          <w:szCs w:val="24"/>
        </w:rPr>
      </w:pPr>
    </w:p>
    <w:p w:rsidR="10C84497" w:rsidP="10C84497" w:rsidRDefault="10C84497" w14:noSpellErr="1" w14:paraId="579182F7" w14:textId="14BD1067">
      <w:pPr>
        <w:rPr>
          <w:sz w:val="24"/>
          <w:szCs w:val="24"/>
        </w:rPr>
      </w:pPr>
    </w:p>
    <w:p w:rsidR="10C84497" w:rsidP="10C84497" w:rsidRDefault="10C84497" w14:noSpellErr="1" w14:paraId="268A261A" w14:textId="6337599C">
      <w:pPr>
        <w:rPr>
          <w:sz w:val="24"/>
          <w:szCs w:val="24"/>
        </w:rPr>
      </w:pPr>
    </w:p>
    <w:p w:rsidR="10C84497" w:rsidP="10C84497" w:rsidRDefault="10C84497" w14:noSpellErr="1" w14:paraId="09AA101F" w14:textId="263139DA">
      <w:pPr>
        <w:rPr>
          <w:sz w:val="24"/>
          <w:szCs w:val="24"/>
        </w:rPr>
      </w:pPr>
    </w:p>
    <w:p w:rsidRPr="00E209C3" w:rsidR="002D5FB8" w:rsidP="10C84497" w:rsidRDefault="00112548" w14:paraId="774BE578" w14:noSpellErr="1" w14:textId="5ED29FEE">
      <w:pPr>
        <w:pBdr>
          <w:top w:val="single" w:color="auto" w:sz="4" w:space="1"/>
          <w:left w:val="single" w:color="auto" w:sz="4" w:space="4"/>
          <w:bottom w:val="single" w:color="auto" w:sz="4" w:space="1"/>
          <w:right w:val="single" w:color="auto" w:sz="4" w:space="4"/>
        </w:pBdr>
        <w:rPr>
          <w:sz w:val="24"/>
          <w:szCs w:val="24"/>
        </w:rPr>
      </w:pPr>
      <w:r w:rsidRPr="10C84497" w:rsidR="10C84497">
        <w:rPr>
          <w:sz w:val="24"/>
          <w:szCs w:val="24"/>
        </w:rPr>
        <w:t xml:space="preserve">Please provide a 24-month action plan, detailing </w:t>
      </w:r>
      <w:proofErr w:type="gramStart"/>
      <w:r w:rsidRPr="10C84497" w:rsidR="10C84497">
        <w:rPr>
          <w:sz w:val="24"/>
          <w:szCs w:val="24"/>
        </w:rPr>
        <w:t>future plans</w:t>
      </w:r>
      <w:proofErr w:type="gramEnd"/>
      <w:r w:rsidRPr="10C84497" w:rsidR="10C84497">
        <w:rPr>
          <w:sz w:val="24"/>
          <w:szCs w:val="24"/>
        </w:rPr>
        <w:t xml:space="preserve"> to ensure your organisation addresses the themes of the Technician Commitment and details of how impact will be evidenced: (this may be detailed here or attached to this document as an appendix):</w:t>
      </w:r>
    </w:p>
    <w:p w:rsidRPr="007249BD" w:rsidR="004A1827" w:rsidP="00C77045" w:rsidRDefault="00C767C0" w14:paraId="3D7F0B32" w14:textId="2890B93C">
      <w:pPr>
        <w:pBdr>
          <w:top w:val="single" w:color="auto" w:sz="4" w:space="1"/>
          <w:left w:val="single" w:color="auto" w:sz="4" w:space="4"/>
          <w:bottom w:val="single" w:color="auto" w:sz="4" w:space="1"/>
          <w:right w:val="single" w:color="auto" w:sz="4" w:space="4"/>
        </w:pBdr>
        <w:rPr>
          <w:b/>
        </w:rPr>
      </w:pPr>
      <w:r w:rsidRPr="007249BD">
        <w:rPr>
          <w:b/>
        </w:rPr>
        <w:t>Please refer to Appendix 1.</w:t>
      </w:r>
    </w:p>
    <w:p w:rsidR="00C77045" w:rsidP="00C77045" w:rsidRDefault="00C77045" w14:paraId="4DDD5667" w14:textId="77777777">
      <w:pPr>
        <w:pBdr>
          <w:top w:val="single" w:color="auto" w:sz="4" w:space="1"/>
          <w:left w:val="single" w:color="auto" w:sz="4" w:space="4"/>
          <w:bottom w:val="single" w:color="auto" w:sz="4" w:space="1"/>
          <w:right w:val="single" w:color="auto" w:sz="4" w:space="4"/>
        </w:pBdr>
      </w:pPr>
    </w:p>
    <w:p w:rsidRPr="00CD314B" w:rsidR="00E209C3" w:rsidP="00E209C3" w:rsidRDefault="00E209C3" w14:paraId="3A7D2ACA" w14:textId="0F188AD9">
      <w:pPr>
        <w:pBdr>
          <w:top w:val="single" w:color="auto" w:sz="4" w:space="1"/>
          <w:left w:val="single" w:color="auto" w:sz="4" w:space="4"/>
          <w:bottom w:val="single" w:color="auto" w:sz="4" w:space="1"/>
          <w:right w:val="single" w:color="auto" w:sz="4" w:space="4"/>
        </w:pBdr>
        <w:rPr>
          <w:b/>
          <w:sz w:val="24"/>
          <w:szCs w:val="24"/>
        </w:rPr>
      </w:pPr>
      <w:r w:rsidRPr="00CD314B">
        <w:rPr>
          <w:b/>
          <w:sz w:val="24"/>
          <w:szCs w:val="24"/>
        </w:rPr>
        <w:t xml:space="preserve">Please evidence how the ‘technician voice’ </w:t>
      </w:r>
      <w:r w:rsidRPr="00CD314B" w:rsidR="0072716B">
        <w:rPr>
          <w:b/>
          <w:sz w:val="24"/>
          <w:szCs w:val="24"/>
        </w:rPr>
        <w:t>was</w:t>
      </w:r>
      <w:r w:rsidRPr="00CD314B">
        <w:rPr>
          <w:b/>
          <w:sz w:val="24"/>
          <w:szCs w:val="24"/>
        </w:rPr>
        <w:t xml:space="preserve"> present in the development and formation of </w:t>
      </w:r>
      <w:r w:rsidRPr="00CD314B" w:rsidR="0072716B">
        <w:rPr>
          <w:b/>
          <w:sz w:val="24"/>
          <w:szCs w:val="24"/>
        </w:rPr>
        <w:t xml:space="preserve">the </w:t>
      </w:r>
      <w:r w:rsidRPr="00CD314B">
        <w:rPr>
          <w:b/>
          <w:sz w:val="24"/>
          <w:szCs w:val="24"/>
        </w:rPr>
        <w:t xml:space="preserve">institutional action plan: </w:t>
      </w:r>
    </w:p>
    <w:p w:rsidRPr="00071F8A" w:rsidR="00E209C3" w:rsidP="00E209C3" w:rsidRDefault="00071F8A" w14:paraId="0B2E730C" w14:textId="65D48B1A">
      <w:pPr>
        <w:pBdr>
          <w:top w:val="single" w:color="auto" w:sz="4" w:space="1"/>
          <w:left w:val="single" w:color="auto" w:sz="4" w:space="4"/>
          <w:bottom w:val="single" w:color="auto" w:sz="4" w:space="1"/>
          <w:right w:val="single" w:color="auto" w:sz="4" w:space="4"/>
        </w:pBdr>
        <w:rPr>
          <w:b/>
        </w:rPr>
      </w:pPr>
      <w:r w:rsidRPr="00962101">
        <w:t xml:space="preserve">The action plan has been developed by the Technician Commitment Committee, which comprises technician representatives from across the academic faculties. </w:t>
      </w:r>
      <w:r w:rsidRPr="00962101" w:rsidR="00032527">
        <w:t>The</w:t>
      </w:r>
      <w:r w:rsidRPr="00962101">
        <w:t xml:space="preserve"> contents have been developed in response to feedback from the technician’s survey and a</w:t>
      </w:r>
      <w:r w:rsidRPr="00962101" w:rsidR="000F54F4">
        <w:t xml:space="preserve">ttendance at </w:t>
      </w:r>
      <w:r w:rsidRPr="00962101">
        <w:t xml:space="preserve">the </w:t>
      </w:r>
      <w:r w:rsidRPr="00962101" w:rsidR="000F54F4">
        <w:rPr>
          <w:lang w:eastAsia="en-GB"/>
        </w:rPr>
        <w:t>event for Technical representatives and OD/SD leads from NE &amp; Yorkshire Universities to explore how we can work together to share good practice, expand training opportunities and support the Technician Commitment, and subsequent feedback to T</w:t>
      </w:r>
      <w:r w:rsidRPr="00962101" w:rsidR="00631CDB">
        <w:rPr>
          <w:lang w:eastAsia="en-GB"/>
        </w:rPr>
        <w:t>echnic</w:t>
      </w:r>
      <w:r w:rsidRPr="00962101">
        <w:rPr>
          <w:lang w:eastAsia="en-GB"/>
        </w:rPr>
        <w:t xml:space="preserve">al community </w:t>
      </w:r>
      <w:r w:rsidRPr="00962101" w:rsidR="000F54F4">
        <w:rPr>
          <w:lang w:eastAsia="en-GB"/>
        </w:rPr>
        <w:t>re opportunities</w:t>
      </w:r>
      <w:r w:rsidRPr="00962101" w:rsidR="007249BD">
        <w:rPr>
          <w:lang w:eastAsia="en-GB"/>
        </w:rPr>
        <w:t xml:space="preserve"> via the Technician Network</w:t>
      </w:r>
      <w:r w:rsidRPr="00962101" w:rsidR="000F54F4">
        <w:rPr>
          <w:lang w:eastAsia="en-GB"/>
        </w:rPr>
        <w:t>.</w:t>
      </w:r>
      <w:r w:rsidRPr="00962101" w:rsidR="000F54F4">
        <w:t> </w:t>
      </w:r>
      <w:r w:rsidRPr="00962101" w:rsidR="00EC3303">
        <w:t>The Technician Champions are now members of the Technician’s Commitment Committee and will play an active role between the Committee and Network</w:t>
      </w:r>
      <w:r w:rsidR="00EC3303">
        <w:rPr>
          <w:b/>
        </w:rPr>
        <w:t xml:space="preserve">. </w:t>
      </w:r>
    </w:p>
    <w:p w:rsidR="0072716B" w:rsidP="00032467" w:rsidRDefault="0072716B" w14:paraId="73157A20" w14:textId="5AC46888"/>
    <w:p w:rsidR="42426DB8" w:rsidP="42426DB8" w:rsidRDefault="42426DB8" w14:noSpellErr="1" w14:paraId="4194D362" w14:textId="099316B2">
      <w:pPr>
        <w:pStyle w:val="Normal"/>
        <w:rPr>
          <w:sz w:val="24"/>
          <w:szCs w:val="24"/>
        </w:rPr>
      </w:pPr>
      <w:r w:rsidRPr="42426DB8" w:rsidR="42426DB8">
        <w:rPr>
          <w:sz w:val="24"/>
          <w:szCs w:val="24"/>
        </w:rPr>
        <w:t xml:space="preserve">Please confirm that your Technician Commitment status and action plan is published on your organisation’s website and provide the relevant URL here: </w:t>
      </w:r>
      <w:hyperlink r:id="R6b5edce8d8d142ad">
        <w:r w:rsidRPr="42426DB8" w:rsidR="42426DB8">
          <w:rPr>
            <w:rStyle w:val="Hyperlink"/>
            <w:rFonts w:ascii="Calibri" w:hAnsi="Calibri" w:eastAsia="Calibri" w:cs="Calibri"/>
            <w:noProof w:val="0"/>
            <w:sz w:val="24"/>
            <w:szCs w:val="24"/>
            <w:lang w:val="en-GB"/>
          </w:rPr>
          <w:t>https://leeds365-my.sharepoint.com/:w:/g/personal/perwebm_leeds_ac_uk/EU0NdAJivLZNqa8OaOHxubEBbcmL4SW68KeYWW914jPSFA?e=F2EbLJ</w:t>
        </w:r>
      </w:hyperlink>
    </w:p>
    <w:p w:rsidR="0072716B" w:rsidP="0072716B" w:rsidRDefault="0072716B" w14:paraId="2804FA23" w14:textId="61FCD8DE">
      <w:pPr>
        <w:pBdr>
          <w:top w:val="single" w:color="auto" w:sz="4" w:space="1"/>
          <w:left w:val="single" w:color="auto" w:sz="4" w:space="4"/>
          <w:bottom w:val="single" w:color="auto" w:sz="4" w:space="1"/>
          <w:right w:val="single" w:color="auto" w:sz="4" w:space="4"/>
        </w:pBdr>
      </w:pPr>
    </w:p>
    <w:p w:rsidR="0072716B" w:rsidP="0072716B" w:rsidRDefault="0072716B" w14:paraId="3C18B9C7" w14:textId="77777777">
      <w:pPr>
        <w:pBdr>
          <w:top w:val="single" w:color="auto" w:sz="4" w:space="1"/>
          <w:left w:val="single" w:color="auto" w:sz="4" w:space="4"/>
          <w:bottom w:val="single" w:color="auto" w:sz="4" w:space="1"/>
          <w:right w:val="single" w:color="auto" w:sz="4" w:space="4"/>
        </w:pBdr>
      </w:pPr>
    </w:p>
    <w:p w:rsidR="0072716B" w:rsidP="00032467" w:rsidRDefault="0072716B" w14:paraId="524C78D5" w14:textId="77777777"/>
    <w:p w:rsidRPr="00DB5D7F" w:rsidR="00E209C3" w:rsidP="008306CA" w:rsidRDefault="00920F64" w14:paraId="57228001" w14:textId="16E28D2F">
      <w:pPr>
        <w:jc w:val="both"/>
        <w:rPr>
          <w:sz w:val="24"/>
          <w:szCs w:val="24"/>
        </w:rPr>
      </w:pPr>
      <w:r w:rsidRPr="00DB5D7F">
        <w:rPr>
          <w:sz w:val="24"/>
          <w:szCs w:val="24"/>
        </w:rPr>
        <w:t>Signed…………</w:t>
      </w:r>
      <w:r w:rsidR="007249BD">
        <w:rPr>
          <w:sz w:val="24"/>
          <w:szCs w:val="24"/>
        </w:rPr>
        <w:t>Helen</w:t>
      </w:r>
      <w:r w:rsidRPr="00DB5D7F">
        <w:rPr>
          <w:sz w:val="24"/>
          <w:szCs w:val="24"/>
        </w:rPr>
        <w:t>……</w:t>
      </w:r>
      <w:r w:rsidR="008306CA">
        <w:rPr>
          <w:sz w:val="24"/>
          <w:szCs w:val="24"/>
        </w:rPr>
        <w:t>……………</w:t>
      </w:r>
      <w:r w:rsidRPr="00DB5D7F">
        <w:rPr>
          <w:sz w:val="24"/>
          <w:szCs w:val="24"/>
        </w:rPr>
        <w:t xml:space="preserve">………………..(Technician Commitment Nominated Institutional Lead) </w:t>
      </w:r>
    </w:p>
    <w:p w:rsidRPr="00DB5D7F" w:rsidR="006457C6" w:rsidP="008306CA" w:rsidRDefault="006457C6" w14:paraId="1FA625C2" w14:textId="77777777">
      <w:pPr>
        <w:jc w:val="both"/>
        <w:rPr>
          <w:sz w:val="24"/>
          <w:szCs w:val="24"/>
        </w:rPr>
      </w:pPr>
      <w:r w:rsidRPr="00DB5D7F">
        <w:rPr>
          <w:sz w:val="24"/>
          <w:szCs w:val="24"/>
        </w:rPr>
        <w:t>Date:</w:t>
      </w:r>
    </w:p>
    <w:p w:rsidR="00920F64" w:rsidP="008306CA" w:rsidRDefault="00920F64" w14:paraId="440335FA" w14:textId="43A7E3FD">
      <w:pPr>
        <w:jc w:val="both"/>
        <w:rPr>
          <w:sz w:val="24"/>
          <w:szCs w:val="24"/>
        </w:rPr>
      </w:pPr>
    </w:p>
    <w:p w:rsidRPr="00DB5D7F" w:rsidR="00154D24" w:rsidP="008306CA" w:rsidRDefault="00920F64" w14:paraId="4A3AA1FE" w14:textId="53A9B7F8">
      <w:pPr>
        <w:jc w:val="both"/>
        <w:rPr>
          <w:sz w:val="24"/>
          <w:szCs w:val="24"/>
        </w:rPr>
      </w:pPr>
      <w:r w:rsidRPr="00DB5D7F">
        <w:rPr>
          <w:sz w:val="24"/>
          <w:szCs w:val="24"/>
        </w:rPr>
        <w:t>Signed…………</w:t>
      </w:r>
      <w:r w:rsidR="007249BD">
        <w:rPr>
          <w:sz w:val="24"/>
          <w:szCs w:val="24"/>
        </w:rPr>
        <w:t>Francesca</w:t>
      </w:r>
      <w:r w:rsidR="008306CA">
        <w:rPr>
          <w:sz w:val="24"/>
          <w:szCs w:val="24"/>
        </w:rPr>
        <w:t>………..</w:t>
      </w:r>
      <w:r w:rsidRPr="00DB5D7F">
        <w:rPr>
          <w:sz w:val="24"/>
          <w:szCs w:val="24"/>
        </w:rPr>
        <w:t xml:space="preserve">…………………..(Technician Commitment Signatory – Leader of Institution) </w:t>
      </w:r>
    </w:p>
    <w:p w:rsidR="00901003" w:rsidP="10C84497" w:rsidRDefault="00E209C3" w14:paraId="66582D71" w14:noSpellErr="1" w14:textId="4A74F700">
      <w:pPr>
        <w:rPr>
          <w:b w:val="1"/>
          <w:bCs w:val="1"/>
        </w:rPr>
      </w:pPr>
      <w:r w:rsidRPr="10C84497" w:rsidR="10C84497">
        <w:rPr>
          <w:sz w:val="24"/>
          <w:szCs w:val="24"/>
        </w:rPr>
        <w:t xml:space="preserve">Date: </w:t>
      </w:r>
    </w:p>
    <w:p w:rsidR="0023547B" w:rsidRDefault="0023547B" w14:paraId="5A939879" w14:textId="77777777">
      <w:pPr>
        <w:rPr>
          <w:b/>
        </w:rPr>
        <w:sectPr w:rsidR="0023547B">
          <w:pgSz w:w="11906" w:h="16838" w:orient="portrait"/>
          <w:pgMar w:top="1440" w:right="1440" w:bottom="1440" w:left="1440" w:header="708" w:footer="708" w:gutter="0"/>
          <w:cols w:space="708"/>
          <w:docGrid w:linePitch="360"/>
        </w:sectPr>
      </w:pPr>
    </w:p>
    <w:p w:rsidR="00D20240" w:rsidP="00D20240" w:rsidRDefault="00D20240" w14:paraId="4C6E9FB2" w14:textId="77777777">
      <w:pPr>
        <w:rPr>
          <w:b/>
          <w:color w:val="FFFFFF" w:themeColor="background1"/>
        </w:rPr>
      </w:pPr>
      <w:r w:rsidRPr="001F5D3A">
        <w:rPr>
          <w:b/>
        </w:rPr>
        <w:t xml:space="preserve">Appendix 1: </w:t>
      </w:r>
      <w:r>
        <w:rPr>
          <w:b/>
        </w:rPr>
        <w:t xml:space="preserve">University of Leeds </w:t>
      </w:r>
      <w:r w:rsidRPr="00952E50">
        <w:rPr>
          <w:b/>
        </w:rPr>
        <w:t>activities and initiatives to address the themes of the Technician Commitment</w:t>
      </w:r>
    </w:p>
    <w:tbl>
      <w:tblPr>
        <w:tblStyle w:val="TableGrid"/>
        <w:tblW w:w="0" w:type="auto"/>
        <w:tblLook w:val="04A0" w:firstRow="1" w:lastRow="0" w:firstColumn="1" w:lastColumn="0" w:noHBand="0" w:noVBand="1"/>
      </w:tblPr>
      <w:tblGrid>
        <w:gridCol w:w="1838"/>
        <w:gridCol w:w="3012"/>
        <w:gridCol w:w="3012"/>
        <w:gridCol w:w="3012"/>
        <w:gridCol w:w="3013"/>
        <w:gridCol w:w="61"/>
      </w:tblGrid>
      <w:tr w:rsidRPr="005156F6" w:rsidR="00D20240" w:rsidTr="00AC559D" w14:paraId="49CE518B" w14:textId="77777777">
        <w:tc>
          <w:tcPr>
            <w:tcW w:w="13948" w:type="dxa"/>
            <w:gridSpan w:val="6"/>
            <w:shd w:val="clear" w:color="auto" w:fill="385623" w:themeFill="accent6" w:themeFillShade="80"/>
          </w:tcPr>
          <w:p w:rsidRPr="005156F6" w:rsidR="00D20240" w:rsidP="00AC559D" w:rsidRDefault="00D20240" w14:paraId="4AF15E7C" w14:textId="77777777">
            <w:pPr>
              <w:jc w:val="center"/>
              <w:rPr>
                <w:b/>
                <w:color w:val="FFFFFF" w:themeColor="background1"/>
                <w:sz w:val="28"/>
                <w:szCs w:val="28"/>
              </w:rPr>
            </w:pPr>
            <w:r w:rsidRPr="005156F6">
              <w:rPr>
                <w:b/>
                <w:color w:val="FFFFFF" w:themeColor="background1"/>
                <w:sz w:val="28"/>
                <w:szCs w:val="28"/>
              </w:rPr>
              <w:t>Our Values: Integrity, Inclusiveness, Community, Professionalism, Academic Excellence</w:t>
            </w:r>
          </w:p>
          <w:p w:rsidRPr="005156F6" w:rsidR="00D20240" w:rsidP="00AC559D" w:rsidRDefault="00D20240" w14:paraId="28C28753" w14:textId="77777777">
            <w:pPr>
              <w:jc w:val="center"/>
              <w:rPr>
                <w:b/>
                <w:color w:val="FFFFFF" w:themeColor="background1"/>
              </w:rPr>
            </w:pPr>
          </w:p>
        </w:tc>
      </w:tr>
      <w:tr w:rsidRPr="005156F6" w:rsidR="00D20240" w:rsidTr="00AC559D" w14:paraId="78432DF1" w14:textId="77777777">
        <w:trPr>
          <w:gridAfter w:val="1"/>
          <w:wAfter w:w="61" w:type="dxa"/>
        </w:trPr>
        <w:tc>
          <w:tcPr>
            <w:tcW w:w="1838" w:type="dxa"/>
          </w:tcPr>
          <w:p w:rsidRPr="005156F6" w:rsidR="00D20240" w:rsidP="00AC559D" w:rsidRDefault="00D20240" w14:paraId="0B1B2BE6" w14:textId="77777777">
            <w:pPr>
              <w:rPr>
                <w:b/>
                <w:sz w:val="24"/>
                <w:szCs w:val="24"/>
              </w:rPr>
            </w:pPr>
            <w:r w:rsidRPr="005156F6">
              <w:rPr>
                <w:b/>
                <w:sz w:val="24"/>
                <w:szCs w:val="24"/>
              </w:rPr>
              <w:t>Work stream</w:t>
            </w:r>
          </w:p>
        </w:tc>
        <w:tc>
          <w:tcPr>
            <w:tcW w:w="3012" w:type="dxa"/>
          </w:tcPr>
          <w:p w:rsidRPr="005156F6" w:rsidR="00D20240" w:rsidP="00AC559D" w:rsidRDefault="00D20240" w14:paraId="2C6FC756" w14:textId="77777777">
            <w:pPr>
              <w:jc w:val="center"/>
              <w:rPr>
                <w:b/>
                <w:sz w:val="24"/>
                <w:szCs w:val="24"/>
              </w:rPr>
            </w:pPr>
            <w:r w:rsidRPr="005156F6">
              <w:rPr>
                <w:b/>
                <w:sz w:val="24"/>
                <w:szCs w:val="24"/>
              </w:rPr>
              <w:t>6-12 months</w:t>
            </w:r>
          </w:p>
        </w:tc>
        <w:tc>
          <w:tcPr>
            <w:tcW w:w="3012" w:type="dxa"/>
          </w:tcPr>
          <w:p w:rsidRPr="005156F6" w:rsidR="00D20240" w:rsidP="00AC559D" w:rsidRDefault="00D20240" w14:paraId="573EEB3C" w14:textId="77777777">
            <w:pPr>
              <w:jc w:val="center"/>
              <w:rPr>
                <w:b/>
                <w:sz w:val="24"/>
                <w:szCs w:val="24"/>
              </w:rPr>
            </w:pPr>
            <w:r w:rsidRPr="005156F6">
              <w:rPr>
                <w:b/>
                <w:sz w:val="24"/>
                <w:szCs w:val="24"/>
              </w:rPr>
              <w:t>1 to 2 years</w:t>
            </w:r>
          </w:p>
        </w:tc>
        <w:tc>
          <w:tcPr>
            <w:tcW w:w="3012" w:type="dxa"/>
          </w:tcPr>
          <w:p w:rsidRPr="005156F6" w:rsidR="00D20240" w:rsidP="00AC559D" w:rsidRDefault="00D20240" w14:paraId="23D33118" w14:textId="77777777">
            <w:pPr>
              <w:jc w:val="center"/>
              <w:rPr>
                <w:b/>
                <w:sz w:val="24"/>
                <w:szCs w:val="24"/>
              </w:rPr>
            </w:pPr>
            <w:r w:rsidRPr="005156F6">
              <w:rPr>
                <w:b/>
                <w:sz w:val="24"/>
                <w:szCs w:val="24"/>
              </w:rPr>
              <w:t>2 to 5 years</w:t>
            </w:r>
          </w:p>
        </w:tc>
        <w:tc>
          <w:tcPr>
            <w:tcW w:w="3013" w:type="dxa"/>
          </w:tcPr>
          <w:p w:rsidRPr="005156F6" w:rsidR="00D20240" w:rsidP="00AC559D" w:rsidRDefault="00D20240" w14:paraId="780F2674" w14:textId="77777777">
            <w:pPr>
              <w:jc w:val="center"/>
              <w:rPr>
                <w:b/>
                <w:sz w:val="24"/>
                <w:szCs w:val="24"/>
              </w:rPr>
            </w:pPr>
            <w:r>
              <w:rPr>
                <w:b/>
                <w:sz w:val="24"/>
                <w:szCs w:val="24"/>
              </w:rPr>
              <w:t>Success Measures</w:t>
            </w:r>
          </w:p>
        </w:tc>
      </w:tr>
      <w:tr w:rsidRPr="005156F6" w:rsidR="00D20240" w:rsidTr="00AC559D" w14:paraId="2BD1562C" w14:textId="77777777">
        <w:trPr>
          <w:gridAfter w:val="1"/>
          <w:wAfter w:w="61" w:type="dxa"/>
          <w:trHeight w:val="874"/>
        </w:trPr>
        <w:tc>
          <w:tcPr>
            <w:tcW w:w="1838" w:type="dxa"/>
            <w:shd w:val="clear" w:color="auto" w:fill="E7E6E6" w:themeFill="background2"/>
          </w:tcPr>
          <w:p w:rsidRPr="005156F6" w:rsidR="00D20240" w:rsidP="00AC559D" w:rsidRDefault="00D20240" w14:paraId="444675DB" w14:textId="77777777">
            <w:pPr>
              <w:rPr>
                <w:b/>
                <w:i/>
                <w:sz w:val="24"/>
                <w:szCs w:val="24"/>
              </w:rPr>
            </w:pPr>
            <w:r>
              <w:rPr>
                <w:b/>
                <w:i/>
                <w:sz w:val="24"/>
                <w:szCs w:val="24"/>
              </w:rPr>
              <w:t>ALL</w:t>
            </w:r>
          </w:p>
        </w:tc>
        <w:tc>
          <w:tcPr>
            <w:tcW w:w="3012" w:type="dxa"/>
            <w:shd w:val="clear" w:color="auto" w:fill="E7E6E6" w:themeFill="background2"/>
          </w:tcPr>
          <w:p w:rsidRPr="005156F6" w:rsidR="00D20240" w:rsidP="00AC559D" w:rsidRDefault="00D20240" w14:paraId="5E241D69" w14:textId="77777777">
            <w:pPr>
              <w:rPr>
                <w:b/>
                <w:sz w:val="24"/>
                <w:szCs w:val="24"/>
              </w:rPr>
            </w:pPr>
            <w:r>
              <w:t xml:space="preserve">University-wide Technicians conference </w:t>
            </w:r>
          </w:p>
        </w:tc>
        <w:tc>
          <w:tcPr>
            <w:tcW w:w="3012" w:type="dxa"/>
            <w:shd w:val="clear" w:color="auto" w:fill="E7E6E6" w:themeFill="background2"/>
          </w:tcPr>
          <w:p w:rsidRPr="005156F6" w:rsidR="00D20240" w:rsidP="00AC559D" w:rsidRDefault="00D20240" w14:paraId="2A893098" w14:textId="77777777">
            <w:pPr>
              <w:rPr>
                <w:b/>
                <w:sz w:val="24"/>
                <w:szCs w:val="24"/>
              </w:rPr>
            </w:pPr>
          </w:p>
        </w:tc>
        <w:tc>
          <w:tcPr>
            <w:tcW w:w="3012" w:type="dxa"/>
            <w:shd w:val="clear" w:color="auto" w:fill="E7E6E6" w:themeFill="background2"/>
          </w:tcPr>
          <w:p w:rsidRPr="005156F6" w:rsidR="00D20240" w:rsidP="00AC559D" w:rsidRDefault="00D20240" w14:paraId="6C19FCD3" w14:textId="77777777">
            <w:pPr>
              <w:rPr>
                <w:b/>
                <w:sz w:val="24"/>
                <w:szCs w:val="24"/>
              </w:rPr>
            </w:pPr>
          </w:p>
        </w:tc>
        <w:tc>
          <w:tcPr>
            <w:tcW w:w="3013" w:type="dxa"/>
            <w:shd w:val="clear" w:color="auto" w:fill="E7E6E6" w:themeFill="background2"/>
          </w:tcPr>
          <w:p w:rsidRPr="005156F6" w:rsidR="00D20240" w:rsidP="00AC559D" w:rsidRDefault="00D20240" w14:paraId="3C05210A" w14:textId="77777777">
            <w:pPr>
              <w:rPr>
                <w:b/>
                <w:sz w:val="24"/>
                <w:szCs w:val="24"/>
              </w:rPr>
            </w:pPr>
            <w:r>
              <w:t>Involvement and attendance from 60% of technicians community</w:t>
            </w:r>
          </w:p>
        </w:tc>
      </w:tr>
      <w:tr w:rsidRPr="005156F6" w:rsidR="00D20240" w:rsidTr="00AC559D" w14:paraId="048C1A01" w14:textId="77777777">
        <w:trPr>
          <w:gridAfter w:val="1"/>
          <w:wAfter w:w="61" w:type="dxa"/>
        </w:trPr>
        <w:tc>
          <w:tcPr>
            <w:tcW w:w="1838" w:type="dxa"/>
            <w:shd w:val="clear" w:color="auto" w:fill="FBE4D5" w:themeFill="accent2" w:themeFillTint="33"/>
          </w:tcPr>
          <w:p w:rsidRPr="005156F6" w:rsidR="00D20240" w:rsidP="00AC559D" w:rsidRDefault="00D20240" w14:paraId="18E3B226" w14:textId="77777777">
            <w:pPr>
              <w:rPr>
                <w:b/>
                <w:i/>
                <w:sz w:val="24"/>
                <w:szCs w:val="24"/>
              </w:rPr>
            </w:pPr>
            <w:r w:rsidRPr="005156F6">
              <w:rPr>
                <w:b/>
                <w:i/>
                <w:sz w:val="24"/>
                <w:szCs w:val="24"/>
              </w:rPr>
              <w:t>Visibility</w:t>
            </w:r>
          </w:p>
        </w:tc>
        <w:tc>
          <w:tcPr>
            <w:tcW w:w="3012" w:type="dxa"/>
            <w:shd w:val="clear" w:color="auto" w:fill="FBE4D5" w:themeFill="accent2" w:themeFillTint="33"/>
          </w:tcPr>
          <w:p w:rsidR="00D20240" w:rsidP="00AC559D" w:rsidRDefault="00D20240" w14:paraId="72361F50" w14:textId="77777777">
            <w:r w:rsidRPr="008746F9">
              <w:t>Expand Technicians’ Network to include more members</w:t>
            </w:r>
            <w:r>
              <w:t>,</w:t>
            </w:r>
            <w:r w:rsidRPr="008746F9">
              <w:t xml:space="preserve"> and encourage </w:t>
            </w:r>
            <w:r>
              <w:t>greater internal and external networking opportunities</w:t>
            </w:r>
          </w:p>
          <w:p w:rsidR="00D20240" w:rsidP="00AC559D" w:rsidRDefault="00D20240" w14:paraId="215C3328" w14:textId="77777777"/>
          <w:p w:rsidR="00D20240" w:rsidP="00AC559D" w:rsidRDefault="00D20240" w14:paraId="69233901" w14:textId="77777777">
            <w:r>
              <w:t>Introduction of Technician Champions and development of their role within the University</w:t>
            </w:r>
          </w:p>
          <w:p w:rsidR="00D20240" w:rsidP="00AC559D" w:rsidRDefault="00D20240" w14:paraId="074ED367" w14:textId="77777777"/>
          <w:p w:rsidR="00D20240" w:rsidP="00AC559D" w:rsidRDefault="00D20240" w14:paraId="7610C971" w14:textId="77777777">
            <w:r>
              <w:t xml:space="preserve">University web pages/intranet developed to act as a central location for technicians to access information about opportunities, professional development, promotions, etc. </w:t>
            </w:r>
          </w:p>
          <w:p w:rsidR="00D20240" w:rsidP="00AC559D" w:rsidRDefault="00D20240" w14:paraId="7D0CE8A3" w14:textId="77777777"/>
          <w:p w:rsidR="00D20240" w:rsidP="00AC559D" w:rsidRDefault="00D20240" w14:paraId="7345A754" w14:textId="77777777">
            <w:r>
              <w:t>Increase visibility of technical managers by building a network of technical managers across the University</w:t>
            </w:r>
          </w:p>
          <w:p w:rsidR="00D20240" w:rsidP="00AC559D" w:rsidRDefault="00D20240" w14:paraId="523133EE" w14:textId="77777777"/>
          <w:p w:rsidRPr="008746F9" w:rsidR="00D20240" w:rsidP="00AC559D" w:rsidRDefault="00D20240" w14:paraId="44A21963" w14:textId="77777777">
            <w:r>
              <w:t>Identify who our Technician community is and understand what they do. Continue to develop the technician skills matrix in Faculties of Medicine &amp; Health , Engineering and Biological Sciences</w:t>
            </w:r>
          </w:p>
        </w:tc>
        <w:tc>
          <w:tcPr>
            <w:tcW w:w="3012" w:type="dxa"/>
            <w:shd w:val="clear" w:color="auto" w:fill="FBE4D5" w:themeFill="accent2" w:themeFillTint="33"/>
          </w:tcPr>
          <w:p w:rsidR="00D20240" w:rsidP="00AC559D" w:rsidRDefault="00D20240" w14:paraId="19B4C255" w14:textId="77777777">
            <w:r w:rsidRPr="008746F9">
              <w:t>Survey current technician representation on committees and increase their representation/contributions (e.g. Athena Swan, school</w:t>
            </w:r>
            <w:r>
              <w:t xml:space="preserve"> </w:t>
            </w:r>
            <w:r w:rsidRPr="008746F9">
              <w:t>/</w:t>
            </w:r>
            <w:r>
              <w:t xml:space="preserve"> </w:t>
            </w:r>
            <w:r w:rsidRPr="008746F9">
              <w:t>faculty research</w:t>
            </w:r>
            <w:r>
              <w:t xml:space="preserve"> </w:t>
            </w:r>
            <w:r w:rsidRPr="008746F9">
              <w:t>/</w:t>
            </w:r>
            <w:r>
              <w:t xml:space="preserve"> </w:t>
            </w:r>
            <w:r w:rsidRPr="008746F9">
              <w:t>teaching committees)</w:t>
            </w:r>
          </w:p>
          <w:p w:rsidR="00D20240" w:rsidP="00AC559D" w:rsidRDefault="00D20240" w14:paraId="469008C7" w14:textId="77777777"/>
          <w:p w:rsidR="00D20240" w:rsidP="00AC559D" w:rsidRDefault="00D20240" w14:paraId="1EAD823A" w14:textId="77777777">
            <w:r>
              <w:t xml:space="preserve">Encourage technicians to complete </w:t>
            </w:r>
            <w:r w:rsidRPr="00393C96">
              <w:rPr>
                <w:i/>
              </w:rPr>
              <w:t>outward facing</w:t>
            </w:r>
            <w:r>
              <w:t xml:space="preserve"> profile web pages – showcasing areas of expertise</w:t>
            </w:r>
          </w:p>
          <w:p w:rsidR="00D20240" w:rsidP="00AC559D" w:rsidRDefault="00D20240" w14:paraId="0169ACF0" w14:textId="77777777"/>
          <w:p w:rsidR="00D20240" w:rsidP="00AC559D" w:rsidRDefault="00D20240" w14:paraId="4E1C19B3" w14:textId="77777777"/>
          <w:p w:rsidR="00D20240" w:rsidP="00AC559D" w:rsidRDefault="00D20240" w14:paraId="2712CFCE" w14:textId="77777777"/>
          <w:p w:rsidR="00D20240" w:rsidP="00AC559D" w:rsidRDefault="00D20240" w14:paraId="17BAE6BC" w14:textId="77777777"/>
          <w:p w:rsidR="00D20240" w:rsidP="00AC559D" w:rsidRDefault="00D20240" w14:paraId="7832660D" w14:textId="77777777"/>
          <w:p w:rsidR="00D20240" w:rsidP="00AC559D" w:rsidRDefault="00D20240" w14:paraId="408203EC" w14:textId="77777777"/>
          <w:p w:rsidR="00D20240" w:rsidP="00AC559D" w:rsidRDefault="00D20240" w14:paraId="56DD50AC" w14:textId="77777777"/>
          <w:p w:rsidR="00D20240" w:rsidP="00AC559D" w:rsidRDefault="00D20240" w14:paraId="036CAB75" w14:textId="77777777"/>
          <w:p w:rsidR="00D20240" w:rsidP="00AC559D" w:rsidRDefault="00D20240" w14:paraId="7AFA5A3A" w14:textId="77777777"/>
          <w:p w:rsidR="00D20240" w:rsidP="00AC559D" w:rsidRDefault="00D20240" w14:paraId="71646225" w14:textId="77777777"/>
          <w:p w:rsidR="00D20240" w:rsidP="00AC559D" w:rsidRDefault="00D20240" w14:paraId="3316280B" w14:textId="77777777"/>
          <w:p w:rsidRPr="008746F9" w:rsidR="00D20240" w:rsidP="00CD314B" w:rsidRDefault="00D20240" w14:paraId="740AF88C" w14:textId="06419CC6">
            <w:r>
              <w:t>Develop the technicians skills matrix for the Faculties of AHC, Environment and MaPS</w:t>
            </w:r>
          </w:p>
        </w:tc>
        <w:tc>
          <w:tcPr>
            <w:tcW w:w="3012" w:type="dxa"/>
            <w:shd w:val="clear" w:color="auto" w:fill="FBE4D5" w:themeFill="accent2" w:themeFillTint="33"/>
          </w:tcPr>
          <w:p w:rsidR="00D20240" w:rsidP="00AC559D" w:rsidRDefault="00D20240" w14:paraId="63EE08CB" w14:textId="77777777">
            <w:r>
              <w:t xml:space="preserve">Identify and communicate / showcase how Technicians are contributing to the 2021 REF submission. Post 2021 identify exemplars where Technician input was vital to REF success </w:t>
            </w:r>
          </w:p>
          <w:p w:rsidR="00D20240" w:rsidP="00AC559D" w:rsidRDefault="00D20240" w14:paraId="3DD4505A" w14:textId="77777777"/>
          <w:p w:rsidR="00D20240" w:rsidP="00AC559D" w:rsidRDefault="00D20240" w14:paraId="151B6929" w14:textId="77777777">
            <w:r>
              <w:t>Identify and communicate / showcase how Technicians are contributing to the TEF submission/NSS results.</w:t>
            </w:r>
          </w:p>
          <w:p w:rsidR="00D20240" w:rsidP="00AC559D" w:rsidRDefault="00D20240" w14:paraId="579E02EA" w14:textId="77777777"/>
          <w:p w:rsidRPr="008746F9" w:rsidR="00D20240" w:rsidP="00AC559D" w:rsidRDefault="00D20240" w14:paraId="63E2AD9D" w14:textId="77777777">
            <w:r>
              <w:t xml:space="preserve">Identify and communicate how a variety of Technician roles contribute and support our 2020 – 2025 strategy </w:t>
            </w:r>
          </w:p>
        </w:tc>
        <w:tc>
          <w:tcPr>
            <w:tcW w:w="3013" w:type="dxa"/>
            <w:shd w:val="clear" w:color="auto" w:fill="FBE4D5" w:themeFill="accent2" w:themeFillTint="33"/>
          </w:tcPr>
          <w:p w:rsidR="00D20240" w:rsidP="00AC559D" w:rsidRDefault="00D20240" w14:paraId="0A2B3B60" w14:textId="77777777">
            <w:r w:rsidRPr="008746F9">
              <w:t xml:space="preserve">Greater proactive </w:t>
            </w:r>
            <w:r>
              <w:t xml:space="preserve">involvement, engagement and representation from the technicians community </w:t>
            </w:r>
            <w:r>
              <w:rPr>
                <w:i/>
              </w:rPr>
              <w:t>and</w:t>
            </w:r>
            <w:r>
              <w:t xml:space="preserve"> those they report into</w:t>
            </w:r>
          </w:p>
          <w:p w:rsidR="00D20240" w:rsidP="00AC559D" w:rsidRDefault="00D20240" w14:paraId="37919576" w14:textId="77777777"/>
          <w:p w:rsidR="00D20240" w:rsidP="00AC559D" w:rsidRDefault="00D20240" w14:paraId="671FA38F" w14:textId="77777777">
            <w:r>
              <w:t>Technicians roles and expertise visible outside of the University</w:t>
            </w:r>
          </w:p>
          <w:p w:rsidR="00D20240" w:rsidP="00AC559D" w:rsidRDefault="00D20240" w14:paraId="43D2A108" w14:textId="77777777"/>
          <w:p w:rsidR="00D20240" w:rsidP="00AC559D" w:rsidRDefault="00D20240" w14:paraId="027881F5" w14:textId="77777777">
            <w:r>
              <w:t>Technicians representing UoL, contributing and presenting at external events</w:t>
            </w:r>
          </w:p>
          <w:p w:rsidR="00D20240" w:rsidP="00AC559D" w:rsidRDefault="00D20240" w14:paraId="641E4382" w14:textId="77777777"/>
          <w:p w:rsidR="00D20240" w:rsidP="00AC559D" w:rsidRDefault="00D20240" w14:paraId="7810B235" w14:textId="77777777">
            <w:r>
              <w:t xml:space="preserve">Visibility (and recognition) of how Technicians and their roles impact UoL REF, and contribute to the wider strategy </w:t>
            </w:r>
          </w:p>
          <w:p w:rsidR="00D20240" w:rsidP="00AC559D" w:rsidRDefault="00D20240" w14:paraId="3391A63F" w14:textId="77777777"/>
          <w:p w:rsidR="00D20240" w:rsidP="00AC559D" w:rsidRDefault="00D20240" w14:paraId="75A396A0" w14:textId="77777777"/>
          <w:p w:rsidR="00D20240" w:rsidP="00AC559D" w:rsidRDefault="00D20240" w14:paraId="1FD66CDE" w14:textId="77777777"/>
          <w:p w:rsidR="00D20240" w:rsidP="00AC559D" w:rsidRDefault="00D20240" w14:paraId="001B3421" w14:textId="77777777"/>
          <w:p w:rsidRPr="00FF0904" w:rsidR="00D20240" w:rsidP="00AC559D" w:rsidRDefault="00D20240" w14:paraId="2EAB814C" w14:textId="77777777">
            <w:r>
              <w:t xml:space="preserve">All Technical Services staff to be clear on skills, knowledge requirements for each level of role </w:t>
            </w:r>
          </w:p>
        </w:tc>
      </w:tr>
      <w:tr w:rsidRPr="005156F6" w:rsidR="00D20240" w:rsidTr="00AC559D" w14:paraId="3EF3BA96" w14:textId="77777777">
        <w:trPr>
          <w:gridAfter w:val="1"/>
          <w:wAfter w:w="61" w:type="dxa"/>
        </w:trPr>
        <w:tc>
          <w:tcPr>
            <w:tcW w:w="1838" w:type="dxa"/>
          </w:tcPr>
          <w:p w:rsidRPr="005156F6" w:rsidR="00D20240" w:rsidP="00AC559D" w:rsidRDefault="00D20240" w14:paraId="0DCE4E9D" w14:textId="77777777">
            <w:pPr>
              <w:rPr>
                <w:b/>
                <w:sz w:val="24"/>
                <w:szCs w:val="24"/>
              </w:rPr>
            </w:pPr>
            <w:r>
              <w:br w:type="page"/>
            </w:r>
            <w:r w:rsidRPr="005156F6">
              <w:rPr>
                <w:b/>
                <w:sz w:val="24"/>
                <w:szCs w:val="24"/>
              </w:rPr>
              <w:t>Work stream</w:t>
            </w:r>
          </w:p>
        </w:tc>
        <w:tc>
          <w:tcPr>
            <w:tcW w:w="3012" w:type="dxa"/>
          </w:tcPr>
          <w:p w:rsidRPr="005156F6" w:rsidR="00D20240" w:rsidP="00AC559D" w:rsidRDefault="00D20240" w14:paraId="3EAAA3FE" w14:textId="77777777">
            <w:pPr>
              <w:jc w:val="center"/>
              <w:rPr>
                <w:b/>
                <w:sz w:val="24"/>
                <w:szCs w:val="24"/>
              </w:rPr>
            </w:pPr>
            <w:r w:rsidRPr="005156F6">
              <w:rPr>
                <w:b/>
                <w:sz w:val="24"/>
                <w:szCs w:val="24"/>
              </w:rPr>
              <w:t>6-12 months</w:t>
            </w:r>
          </w:p>
        </w:tc>
        <w:tc>
          <w:tcPr>
            <w:tcW w:w="3012" w:type="dxa"/>
          </w:tcPr>
          <w:p w:rsidRPr="005156F6" w:rsidR="00D20240" w:rsidP="00AC559D" w:rsidRDefault="00D20240" w14:paraId="336221A3" w14:textId="77777777">
            <w:pPr>
              <w:jc w:val="center"/>
              <w:rPr>
                <w:b/>
                <w:sz w:val="24"/>
                <w:szCs w:val="24"/>
              </w:rPr>
            </w:pPr>
            <w:r w:rsidRPr="005156F6">
              <w:rPr>
                <w:b/>
                <w:sz w:val="24"/>
                <w:szCs w:val="24"/>
              </w:rPr>
              <w:t>1 to 2 years</w:t>
            </w:r>
          </w:p>
        </w:tc>
        <w:tc>
          <w:tcPr>
            <w:tcW w:w="3012" w:type="dxa"/>
          </w:tcPr>
          <w:p w:rsidRPr="005156F6" w:rsidR="00D20240" w:rsidP="00AC559D" w:rsidRDefault="00D20240" w14:paraId="56B1464D" w14:textId="77777777">
            <w:pPr>
              <w:jc w:val="center"/>
              <w:rPr>
                <w:b/>
                <w:sz w:val="24"/>
                <w:szCs w:val="24"/>
              </w:rPr>
            </w:pPr>
            <w:r w:rsidRPr="005156F6">
              <w:rPr>
                <w:b/>
                <w:sz w:val="24"/>
                <w:szCs w:val="24"/>
              </w:rPr>
              <w:t>2 to 5 years</w:t>
            </w:r>
          </w:p>
        </w:tc>
        <w:tc>
          <w:tcPr>
            <w:tcW w:w="3013" w:type="dxa"/>
          </w:tcPr>
          <w:p w:rsidRPr="005156F6" w:rsidR="00D20240" w:rsidP="00AC559D" w:rsidRDefault="00D20240" w14:paraId="69E2DAE0" w14:textId="77777777">
            <w:pPr>
              <w:jc w:val="center"/>
              <w:rPr>
                <w:b/>
                <w:sz w:val="24"/>
                <w:szCs w:val="24"/>
              </w:rPr>
            </w:pPr>
            <w:r>
              <w:rPr>
                <w:b/>
                <w:sz w:val="24"/>
                <w:szCs w:val="24"/>
              </w:rPr>
              <w:t>Success Measures</w:t>
            </w:r>
          </w:p>
        </w:tc>
      </w:tr>
      <w:tr w:rsidRPr="005156F6" w:rsidR="00D20240" w:rsidTr="00AC559D" w14:paraId="4BC23DDC" w14:textId="77777777">
        <w:trPr>
          <w:gridAfter w:val="1"/>
          <w:wAfter w:w="61" w:type="dxa"/>
        </w:trPr>
        <w:tc>
          <w:tcPr>
            <w:tcW w:w="1838" w:type="dxa"/>
            <w:shd w:val="clear" w:color="auto" w:fill="FFF2CC" w:themeFill="accent4" w:themeFillTint="33"/>
          </w:tcPr>
          <w:p w:rsidRPr="005156F6" w:rsidR="00D20240" w:rsidP="00AC559D" w:rsidRDefault="00D20240" w14:paraId="2749E5F5" w14:textId="77777777">
            <w:pPr>
              <w:rPr>
                <w:b/>
                <w:i/>
                <w:sz w:val="24"/>
                <w:szCs w:val="24"/>
              </w:rPr>
            </w:pPr>
            <w:r>
              <w:rPr>
                <w:b/>
                <w:i/>
                <w:sz w:val="24"/>
                <w:szCs w:val="24"/>
              </w:rPr>
              <w:t>Recognition</w:t>
            </w:r>
          </w:p>
        </w:tc>
        <w:tc>
          <w:tcPr>
            <w:tcW w:w="3012" w:type="dxa"/>
            <w:shd w:val="clear" w:color="auto" w:fill="FFF2CC" w:themeFill="accent4" w:themeFillTint="33"/>
          </w:tcPr>
          <w:p w:rsidR="00D20240" w:rsidP="00AC559D" w:rsidRDefault="00D20240" w14:paraId="5907BD32" w14:textId="77777777">
            <w:r>
              <w:t xml:space="preserve">Wider recognition and celebrate those that achieve their professional registration </w:t>
            </w:r>
          </w:p>
          <w:p w:rsidR="00D20240" w:rsidP="00AC559D" w:rsidRDefault="00D20240" w14:paraId="18F21529" w14:textId="77777777"/>
          <w:p w:rsidR="00D20240" w:rsidP="00AC559D" w:rsidRDefault="00D20240" w14:paraId="1A229240" w14:textId="77777777">
            <w:r>
              <w:t>Continue to promote reward and recognition scheme widely in the University, including the new reward portal</w:t>
            </w:r>
          </w:p>
          <w:p w:rsidR="00D20240" w:rsidP="00AC559D" w:rsidRDefault="00D20240" w14:paraId="3B51583F" w14:textId="77777777"/>
          <w:p w:rsidRPr="008746F9" w:rsidR="00D20240" w:rsidP="00AC559D" w:rsidRDefault="00D20240" w14:paraId="3AB34F2A" w14:textId="77777777">
            <w:r>
              <w:t>Case study career pathways / talking heads on dedicated web page</w:t>
            </w:r>
          </w:p>
        </w:tc>
        <w:tc>
          <w:tcPr>
            <w:tcW w:w="3012" w:type="dxa"/>
            <w:shd w:val="clear" w:color="auto" w:fill="FFF2CC" w:themeFill="accent4" w:themeFillTint="33"/>
          </w:tcPr>
          <w:p w:rsidR="00D20240" w:rsidP="00AC559D" w:rsidRDefault="00D20240" w14:paraId="0BF0D5C7" w14:textId="77777777">
            <w:r>
              <w:t>Communicate the potential / contributions to the University’s external and international profile</w:t>
            </w:r>
          </w:p>
          <w:p w:rsidR="00D20240" w:rsidP="00AC559D" w:rsidRDefault="00D20240" w14:paraId="3145ECC4" w14:textId="77777777"/>
          <w:p w:rsidRPr="008746F9" w:rsidR="00D20240" w:rsidP="00AC559D" w:rsidRDefault="00D20240" w14:paraId="6298DAE4" w14:textId="77777777">
            <w:r>
              <w:t xml:space="preserve">Development of an internal award / recognition scheme for Technicians </w:t>
            </w:r>
          </w:p>
        </w:tc>
        <w:tc>
          <w:tcPr>
            <w:tcW w:w="3012" w:type="dxa"/>
            <w:shd w:val="clear" w:color="auto" w:fill="FFF2CC" w:themeFill="accent4" w:themeFillTint="33"/>
          </w:tcPr>
          <w:p w:rsidR="00D20240" w:rsidP="00AC559D" w:rsidRDefault="00D20240" w14:paraId="1D1245CE" w14:textId="77777777">
            <w:r>
              <w:t xml:space="preserve">Technicians invited to show case their expertise during Open Days and Student Induction </w:t>
            </w:r>
          </w:p>
          <w:p w:rsidR="00D20240" w:rsidP="00AC559D" w:rsidRDefault="00D20240" w14:paraId="610CB5AB" w14:textId="77777777"/>
          <w:p w:rsidR="00D20240" w:rsidP="00AC559D" w:rsidRDefault="00D20240" w14:paraId="3FA2460D" w14:textId="77777777">
            <w:r>
              <w:t xml:space="preserve">Inclusion of Technicians at student graduation ceremonies </w:t>
            </w:r>
          </w:p>
          <w:p w:rsidR="00D20240" w:rsidP="00AC559D" w:rsidRDefault="00D20240" w14:paraId="4F662DE6" w14:textId="77777777"/>
          <w:p w:rsidR="00D20240" w:rsidP="00AC559D" w:rsidRDefault="00D20240" w14:paraId="1DFBADD8" w14:textId="77777777">
            <w:r>
              <w:t xml:space="preserve">Students have an increased awareness and appreciation of the roles and contributions Technicians make. </w:t>
            </w:r>
          </w:p>
          <w:p w:rsidR="00D20240" w:rsidP="00AC559D" w:rsidRDefault="00D20240" w14:paraId="5B48F06A" w14:textId="77777777"/>
          <w:p w:rsidR="00D20240" w:rsidP="00AC559D" w:rsidRDefault="00D20240" w14:paraId="183BEE26" w14:textId="77777777"/>
          <w:p w:rsidRPr="008746F9" w:rsidR="00D20240" w:rsidP="00AC559D" w:rsidRDefault="00D20240" w14:paraId="4E2BE0E6" w14:textId="77777777"/>
        </w:tc>
        <w:tc>
          <w:tcPr>
            <w:tcW w:w="3013" w:type="dxa"/>
            <w:shd w:val="clear" w:color="auto" w:fill="FFF2CC" w:themeFill="accent4" w:themeFillTint="33"/>
          </w:tcPr>
          <w:p w:rsidR="00D20240" w:rsidP="00AC559D" w:rsidRDefault="00D20240" w14:paraId="045FC122" w14:textId="77777777">
            <w:r>
              <w:t>Faculty/school level celebration of technician professional registration and other achievements</w:t>
            </w:r>
          </w:p>
          <w:p w:rsidR="00D20240" w:rsidP="00AC559D" w:rsidRDefault="00D20240" w14:paraId="6880E634" w14:textId="77777777"/>
          <w:p w:rsidR="00D20240" w:rsidP="00AC559D" w:rsidRDefault="00D20240" w14:paraId="340C4337" w14:textId="77777777">
            <w:r>
              <w:t>Managers/academic staff actively promoting and presenting technicians for recognition schemes</w:t>
            </w:r>
          </w:p>
          <w:p w:rsidR="00D20240" w:rsidP="00AC559D" w:rsidRDefault="00D20240" w14:paraId="557B6527" w14:textId="77777777"/>
          <w:p w:rsidRPr="008746F9" w:rsidR="00D20240" w:rsidP="00AC559D" w:rsidRDefault="00D20240" w14:paraId="79E470A4" w14:textId="77777777">
            <w:r>
              <w:t xml:space="preserve">Technical staff recognised as an integral part of the research community, student experience, and achievement/contribution to the success of organisational goals. </w:t>
            </w:r>
          </w:p>
        </w:tc>
      </w:tr>
    </w:tbl>
    <w:p w:rsidR="00D20240" w:rsidP="00D20240" w:rsidRDefault="00D20240" w14:paraId="75CC0B8B" w14:textId="77777777">
      <w:r>
        <w:br w:type="page"/>
      </w:r>
    </w:p>
    <w:tbl>
      <w:tblPr>
        <w:tblStyle w:val="TableGrid"/>
        <w:tblW w:w="0" w:type="auto"/>
        <w:tblLook w:val="04A0" w:firstRow="1" w:lastRow="0" w:firstColumn="1" w:lastColumn="0" w:noHBand="0" w:noVBand="1"/>
      </w:tblPr>
      <w:tblGrid>
        <w:gridCol w:w="1838"/>
        <w:gridCol w:w="3012"/>
        <w:gridCol w:w="3012"/>
        <w:gridCol w:w="3012"/>
        <w:gridCol w:w="3013"/>
      </w:tblGrid>
      <w:tr w:rsidRPr="005156F6" w:rsidR="00D20240" w:rsidTr="00AC559D" w14:paraId="5335C6A0" w14:textId="77777777">
        <w:tc>
          <w:tcPr>
            <w:tcW w:w="1838" w:type="dxa"/>
          </w:tcPr>
          <w:p w:rsidRPr="005156F6" w:rsidR="00D20240" w:rsidP="00AC559D" w:rsidRDefault="00D20240" w14:paraId="2FE3BF8B" w14:textId="77777777">
            <w:pPr>
              <w:rPr>
                <w:b/>
                <w:sz w:val="24"/>
                <w:szCs w:val="24"/>
              </w:rPr>
            </w:pPr>
            <w:r>
              <w:br w:type="page"/>
            </w:r>
            <w:r w:rsidRPr="005156F6">
              <w:rPr>
                <w:b/>
                <w:sz w:val="24"/>
                <w:szCs w:val="24"/>
              </w:rPr>
              <w:t>Work stream</w:t>
            </w:r>
          </w:p>
        </w:tc>
        <w:tc>
          <w:tcPr>
            <w:tcW w:w="3012" w:type="dxa"/>
          </w:tcPr>
          <w:p w:rsidRPr="005156F6" w:rsidR="00D20240" w:rsidP="00AC559D" w:rsidRDefault="00D20240" w14:paraId="4F380EA3" w14:textId="77777777">
            <w:pPr>
              <w:jc w:val="center"/>
              <w:rPr>
                <w:b/>
                <w:sz w:val="24"/>
                <w:szCs w:val="24"/>
              </w:rPr>
            </w:pPr>
            <w:r w:rsidRPr="005156F6">
              <w:rPr>
                <w:b/>
                <w:sz w:val="24"/>
                <w:szCs w:val="24"/>
              </w:rPr>
              <w:t>6-12 months</w:t>
            </w:r>
          </w:p>
        </w:tc>
        <w:tc>
          <w:tcPr>
            <w:tcW w:w="3012" w:type="dxa"/>
          </w:tcPr>
          <w:p w:rsidRPr="005156F6" w:rsidR="00D20240" w:rsidP="00AC559D" w:rsidRDefault="00D20240" w14:paraId="34966692" w14:textId="77777777">
            <w:pPr>
              <w:jc w:val="center"/>
              <w:rPr>
                <w:b/>
                <w:sz w:val="24"/>
                <w:szCs w:val="24"/>
              </w:rPr>
            </w:pPr>
            <w:r w:rsidRPr="005156F6">
              <w:rPr>
                <w:b/>
                <w:sz w:val="24"/>
                <w:szCs w:val="24"/>
              </w:rPr>
              <w:t>1 to 2 years</w:t>
            </w:r>
          </w:p>
        </w:tc>
        <w:tc>
          <w:tcPr>
            <w:tcW w:w="3012" w:type="dxa"/>
          </w:tcPr>
          <w:p w:rsidRPr="005156F6" w:rsidR="00D20240" w:rsidP="00AC559D" w:rsidRDefault="00D20240" w14:paraId="08E9C356" w14:textId="77777777">
            <w:pPr>
              <w:jc w:val="center"/>
              <w:rPr>
                <w:b/>
                <w:sz w:val="24"/>
                <w:szCs w:val="24"/>
              </w:rPr>
            </w:pPr>
            <w:r w:rsidRPr="005156F6">
              <w:rPr>
                <w:b/>
                <w:sz w:val="24"/>
                <w:szCs w:val="24"/>
              </w:rPr>
              <w:t>2 to 5 years</w:t>
            </w:r>
          </w:p>
        </w:tc>
        <w:tc>
          <w:tcPr>
            <w:tcW w:w="3013" w:type="dxa"/>
          </w:tcPr>
          <w:p w:rsidRPr="005156F6" w:rsidR="00D20240" w:rsidP="00AC559D" w:rsidRDefault="00D20240" w14:paraId="0AF77AFC" w14:textId="77777777">
            <w:pPr>
              <w:jc w:val="center"/>
              <w:rPr>
                <w:b/>
                <w:sz w:val="24"/>
                <w:szCs w:val="24"/>
              </w:rPr>
            </w:pPr>
            <w:r>
              <w:rPr>
                <w:b/>
                <w:sz w:val="24"/>
                <w:szCs w:val="24"/>
              </w:rPr>
              <w:t>Success Measures</w:t>
            </w:r>
          </w:p>
        </w:tc>
      </w:tr>
      <w:tr w:rsidRPr="005156F6" w:rsidR="00D20240" w:rsidTr="00AC559D" w14:paraId="39D3702B" w14:textId="77777777">
        <w:tc>
          <w:tcPr>
            <w:tcW w:w="1838" w:type="dxa"/>
            <w:shd w:val="clear" w:color="auto" w:fill="E2EFD9" w:themeFill="accent6" w:themeFillTint="33"/>
          </w:tcPr>
          <w:p w:rsidRPr="005156F6" w:rsidR="00D20240" w:rsidP="00AC559D" w:rsidRDefault="00D20240" w14:paraId="5111C0FD" w14:textId="77777777">
            <w:pPr>
              <w:rPr>
                <w:b/>
                <w:i/>
                <w:sz w:val="24"/>
                <w:szCs w:val="24"/>
              </w:rPr>
            </w:pPr>
            <w:r>
              <w:rPr>
                <w:b/>
                <w:i/>
                <w:sz w:val="24"/>
                <w:szCs w:val="24"/>
              </w:rPr>
              <w:t>Career Development</w:t>
            </w:r>
          </w:p>
        </w:tc>
        <w:tc>
          <w:tcPr>
            <w:tcW w:w="3012" w:type="dxa"/>
            <w:shd w:val="clear" w:color="auto" w:fill="E2EFD9" w:themeFill="accent6" w:themeFillTint="33"/>
          </w:tcPr>
          <w:p w:rsidR="00D20240" w:rsidP="00AC559D" w:rsidRDefault="00D20240" w14:paraId="31259416" w14:textId="77777777">
            <w:r>
              <w:t xml:space="preserve">Realign/refocus technical structures in faculties which promote clear, transparent career pathways. FBS and Engineering have achieved this.  </w:t>
            </w:r>
          </w:p>
          <w:p w:rsidR="00D20240" w:rsidP="00AC559D" w:rsidRDefault="00D20240" w14:paraId="09AED23C" w14:textId="77777777"/>
          <w:p w:rsidR="00D20240" w:rsidP="00AC559D" w:rsidRDefault="00D20240" w14:paraId="12C3EACB" w14:textId="77777777"/>
          <w:p w:rsidR="00D20240" w:rsidP="00AC559D" w:rsidRDefault="00D20240" w14:paraId="01131A8F" w14:textId="77777777"/>
          <w:p w:rsidR="00D20240" w:rsidP="00AC559D" w:rsidRDefault="00D20240" w14:paraId="54EE84E3" w14:textId="77777777"/>
          <w:p w:rsidR="00D20240" w:rsidP="00AC559D" w:rsidRDefault="00D20240" w14:paraId="5D6CE75C" w14:textId="77777777"/>
          <w:p w:rsidR="00D20240" w:rsidP="00AC559D" w:rsidRDefault="00D20240" w14:paraId="35F49322" w14:textId="77777777">
            <w:r>
              <w:t>Wider communication for all Technical Staff to gain their professional registration.</w:t>
            </w:r>
          </w:p>
          <w:p w:rsidR="00D20240" w:rsidP="00AC559D" w:rsidRDefault="00D20240" w14:paraId="02BD499C" w14:textId="77777777"/>
          <w:p w:rsidR="00D20240" w:rsidP="00AC559D" w:rsidRDefault="00D20240" w14:paraId="32BD9960" w14:textId="77777777">
            <w:r>
              <w:t>Investigate ways for technicians to explore their skill sets. (e.g. job crafting)</w:t>
            </w:r>
          </w:p>
          <w:p w:rsidR="00D20240" w:rsidP="00AC559D" w:rsidRDefault="00D20240" w14:paraId="2EB1B818" w14:textId="77777777"/>
          <w:p w:rsidR="00D20240" w:rsidP="00AC559D" w:rsidRDefault="00D20240" w14:paraId="72F02E62" w14:textId="77777777">
            <w:r>
              <w:t xml:space="preserve">Case studies of career pathways / ‘talking heads’ on dedicated web page </w:t>
            </w:r>
          </w:p>
          <w:p w:rsidR="00D20240" w:rsidP="00AC559D" w:rsidRDefault="00D20240" w14:paraId="03305240" w14:textId="77777777"/>
          <w:p w:rsidRPr="008746F9" w:rsidR="00D20240" w:rsidP="00AC559D" w:rsidRDefault="00D20240" w14:paraId="6FD02369" w14:textId="77777777">
            <w:r>
              <w:t>Attendance and participation in NE &amp; Yorkshire Universities group meetings – to explore how we can work together to share good practice and expand training opportunities</w:t>
            </w:r>
          </w:p>
        </w:tc>
        <w:tc>
          <w:tcPr>
            <w:tcW w:w="3012" w:type="dxa"/>
            <w:shd w:val="clear" w:color="auto" w:fill="E2EFD9" w:themeFill="accent6" w:themeFillTint="33"/>
          </w:tcPr>
          <w:p w:rsidR="00D20240" w:rsidP="00AC559D" w:rsidRDefault="00D20240" w14:paraId="1EEB5BE6" w14:textId="77777777">
            <w:r>
              <w:t xml:space="preserve">AHC, MaPS and Environment to have fully implemented a re-aligned/refocused structure </w:t>
            </w:r>
          </w:p>
          <w:p w:rsidR="00D20240" w:rsidP="00AC559D" w:rsidRDefault="00D20240" w14:paraId="46314E90" w14:textId="77777777"/>
          <w:p w:rsidR="00D20240" w:rsidP="00AC559D" w:rsidRDefault="00D20240" w14:paraId="6C9FB324" w14:textId="77777777"/>
          <w:p w:rsidR="00D20240" w:rsidP="00AC559D" w:rsidRDefault="00D20240" w14:paraId="45A85B32" w14:textId="77777777"/>
          <w:p w:rsidR="00D20240" w:rsidP="00AC559D" w:rsidRDefault="00D20240" w14:paraId="66BF7563" w14:textId="77777777">
            <w:r>
              <w:t xml:space="preserve">Developed clear standardised job descriptions for all technical roles embedding the Leadership Behaviours </w:t>
            </w:r>
          </w:p>
          <w:p w:rsidR="00D20240" w:rsidP="00AC559D" w:rsidRDefault="00D20240" w14:paraId="5A074A34" w14:textId="77777777"/>
          <w:p w:rsidR="00D20240" w:rsidP="00AC559D" w:rsidRDefault="00D20240" w14:paraId="64B694AA" w14:textId="77777777"/>
          <w:p w:rsidR="00D20240" w:rsidP="00AC559D" w:rsidRDefault="00D20240" w14:paraId="4B722D8D" w14:textId="77777777">
            <w:r>
              <w:t>Actively encourage Technicians to become mentors to other Technicians and assessors</w:t>
            </w:r>
          </w:p>
          <w:p w:rsidR="00D20240" w:rsidP="00AC559D" w:rsidRDefault="00D20240" w14:paraId="764A545C" w14:textId="77777777"/>
          <w:p w:rsidR="00D20240" w:rsidP="00AC559D" w:rsidRDefault="00D20240" w14:paraId="1C933AF8" w14:textId="77777777">
            <w:r>
              <w:t>Include professional registration as desirable on Technician job adverts.</w:t>
            </w:r>
          </w:p>
          <w:p w:rsidR="00D20240" w:rsidP="00AC559D" w:rsidRDefault="00D20240" w14:paraId="574A0526" w14:textId="77777777"/>
          <w:p w:rsidR="00D20240" w:rsidP="00AC559D" w:rsidRDefault="00D20240" w14:paraId="4DB46077" w14:textId="77777777">
            <w:r>
              <w:t>Focused SRDS support for the technician community to ensure focused career development conversations take place, including appropriate CPD.</w:t>
            </w:r>
          </w:p>
          <w:p w:rsidR="00D20240" w:rsidP="00AC559D" w:rsidRDefault="00D20240" w14:paraId="1BE59105" w14:textId="77777777"/>
          <w:p w:rsidRPr="008746F9" w:rsidR="00D20240" w:rsidP="00AC559D" w:rsidRDefault="00D20240" w14:paraId="50F933D9" w14:textId="77777777"/>
        </w:tc>
        <w:tc>
          <w:tcPr>
            <w:tcW w:w="3012" w:type="dxa"/>
            <w:shd w:val="clear" w:color="auto" w:fill="E2EFD9" w:themeFill="accent6" w:themeFillTint="33"/>
          </w:tcPr>
          <w:p w:rsidR="00D20240" w:rsidP="00AC559D" w:rsidRDefault="00D20240" w14:paraId="0346ED2B" w14:textId="77777777">
            <w:r>
              <w:t xml:space="preserve">Medicine and Health to have fully implemented a realigned/refocused structure </w:t>
            </w:r>
          </w:p>
          <w:p w:rsidR="00D20240" w:rsidP="00AC559D" w:rsidRDefault="00D20240" w14:paraId="53053C39" w14:textId="77777777"/>
          <w:p w:rsidR="00D20240" w:rsidP="00AC559D" w:rsidRDefault="00D20240" w14:paraId="0AE439FE" w14:textId="77777777"/>
          <w:p w:rsidR="00D20240" w:rsidP="00AC559D" w:rsidRDefault="00D20240" w14:paraId="7091833D" w14:textId="77777777"/>
          <w:p w:rsidR="00D20240" w:rsidP="00AC559D" w:rsidRDefault="00D20240" w14:paraId="19649D52" w14:textId="77777777"/>
          <w:p w:rsidR="00D20240" w:rsidP="00AC559D" w:rsidRDefault="00D20240" w14:paraId="43F40477" w14:textId="77777777"/>
          <w:p w:rsidR="00D20240" w:rsidP="00AC559D" w:rsidRDefault="00D20240" w14:paraId="035C337C" w14:textId="77777777"/>
          <w:p w:rsidR="00D20240" w:rsidP="00AC559D" w:rsidRDefault="00D20240" w14:paraId="032FBEE4" w14:textId="77777777"/>
          <w:p w:rsidR="00D20240" w:rsidP="00AC559D" w:rsidRDefault="00D20240" w14:paraId="59BAF610" w14:textId="77777777">
            <w:r>
              <w:t xml:space="preserve">Clear promotion structure for Technicians with clear job roles and opportunities for progression/cross-faculty/school movement </w:t>
            </w:r>
          </w:p>
          <w:p w:rsidR="00D20240" w:rsidP="00AC559D" w:rsidRDefault="00D20240" w14:paraId="747E975B" w14:textId="77777777"/>
          <w:p w:rsidR="00D20240" w:rsidP="00AC559D" w:rsidRDefault="00D20240" w14:paraId="37818335" w14:textId="77777777">
            <w:r>
              <w:t>Provide the opportunity for Technical Staff to obtain their associateship/fellowship with other recognised professional bodies (e.g. HEA)</w:t>
            </w:r>
          </w:p>
          <w:p w:rsidR="00D20240" w:rsidP="00AC559D" w:rsidRDefault="00D20240" w14:paraId="7E93598C" w14:textId="77777777"/>
          <w:p w:rsidR="00D20240" w:rsidP="00AC559D" w:rsidRDefault="00D20240" w14:paraId="75DF5321" w14:textId="77777777">
            <w:r>
              <w:t>Transparent training/development budgets in each faculty with clear information about how to get access to these.</w:t>
            </w:r>
          </w:p>
          <w:p w:rsidR="00D20240" w:rsidP="00AC559D" w:rsidRDefault="00D20240" w14:paraId="1385222F" w14:textId="77777777"/>
          <w:p w:rsidRPr="008746F9" w:rsidR="00D20240" w:rsidP="00AC559D" w:rsidRDefault="00D20240" w14:paraId="757D2F07" w14:textId="77777777">
            <w:r>
              <w:t>Cross faculty mentoring</w:t>
            </w:r>
            <w:r w:rsidRPr="00E04681">
              <w:t xml:space="preserve">, job shadowing, </w:t>
            </w:r>
            <w:r>
              <w:t xml:space="preserve">job exchange, and </w:t>
            </w:r>
            <w:r w:rsidRPr="00E04681">
              <w:t>coaching</w:t>
            </w:r>
            <w:r>
              <w:t xml:space="preserve"> opportunities for technicians</w:t>
            </w:r>
          </w:p>
        </w:tc>
        <w:tc>
          <w:tcPr>
            <w:tcW w:w="3013" w:type="dxa"/>
            <w:shd w:val="clear" w:color="auto" w:fill="E2EFD9" w:themeFill="accent6" w:themeFillTint="33"/>
          </w:tcPr>
          <w:p w:rsidR="00D20240" w:rsidP="00AC559D" w:rsidRDefault="00D20240" w14:paraId="5E820418" w14:textId="7CFC8348">
            <w:r>
              <w:t>All academic faculties have structures with a clearly defined career pathway</w:t>
            </w:r>
          </w:p>
          <w:p w:rsidR="00D20240" w:rsidP="00AC559D" w:rsidRDefault="00D20240" w14:paraId="3CE403EE" w14:textId="77777777"/>
          <w:p w:rsidR="00D20240" w:rsidP="00AC559D" w:rsidRDefault="00D20240" w14:paraId="12779AEE" w14:textId="77777777"/>
          <w:p w:rsidR="00D20240" w:rsidP="00AC559D" w:rsidRDefault="00D20240" w14:paraId="117F4B4B" w14:textId="77777777"/>
          <w:p w:rsidR="00D20240" w:rsidP="00AC559D" w:rsidRDefault="00D20240" w14:paraId="5B7843E0" w14:textId="77777777"/>
          <w:p w:rsidR="00D20240" w:rsidP="00AC559D" w:rsidRDefault="00D20240" w14:paraId="2FD0DB17" w14:textId="77777777"/>
          <w:p w:rsidR="00D20240" w:rsidP="00AC559D" w:rsidRDefault="00D20240" w14:paraId="7A71DEB6" w14:textId="77777777">
            <w:r>
              <w:t>School/faculty support and provide funding for Technicians development</w:t>
            </w:r>
          </w:p>
          <w:p w:rsidR="00D20240" w:rsidP="00AC559D" w:rsidRDefault="00D20240" w14:paraId="7D79F8C1" w14:textId="77777777"/>
          <w:p w:rsidR="00D20240" w:rsidP="00AC559D" w:rsidRDefault="00D20240" w14:paraId="4B490211" w14:textId="77777777">
            <w:r>
              <w:t>Technical staff can work across faculties, and have a wider/diverse skill set</w:t>
            </w:r>
          </w:p>
          <w:p w:rsidR="00D20240" w:rsidP="00AC559D" w:rsidRDefault="00D20240" w14:paraId="4AE12D0D" w14:textId="77777777"/>
          <w:p w:rsidR="00D20240" w:rsidP="00AC559D" w:rsidRDefault="00D20240" w14:paraId="3B8A349F" w14:textId="7E455D62">
            <w:r>
              <w:t xml:space="preserve">Evidence of career progression </w:t>
            </w:r>
            <w:r w:rsidR="00797912">
              <w:t>across the university</w:t>
            </w:r>
            <w:r>
              <w:t xml:space="preserve"> </w:t>
            </w:r>
          </w:p>
          <w:p w:rsidR="00D20240" w:rsidP="00AC559D" w:rsidRDefault="00D20240" w14:paraId="40119CFD" w14:textId="77777777"/>
          <w:p w:rsidRPr="008746F9" w:rsidR="00D20240" w:rsidP="00AC559D" w:rsidRDefault="00D20240" w14:paraId="7EC07EF5" w14:textId="77777777">
            <w:r>
              <w:t>Skilled internal coaching/mentoring community</w:t>
            </w:r>
          </w:p>
        </w:tc>
      </w:tr>
    </w:tbl>
    <w:p w:rsidR="00D20240" w:rsidP="00D20240" w:rsidRDefault="00D20240" w14:paraId="7F830280" w14:textId="77777777"/>
    <w:p w:rsidR="00D20240" w:rsidP="00D20240" w:rsidRDefault="00D20240" w14:paraId="6003E361" w14:textId="77777777"/>
    <w:p w:rsidR="00D20240" w:rsidP="00D20240" w:rsidRDefault="00D20240" w14:paraId="1036FC3F" w14:textId="77777777"/>
    <w:p w:rsidR="00D20240" w:rsidP="00D20240" w:rsidRDefault="00D20240" w14:paraId="2877C7F7" w14:textId="77777777"/>
    <w:p w:rsidR="00D20240" w:rsidP="00D20240" w:rsidRDefault="00D20240" w14:paraId="163F28B9" w14:textId="77777777"/>
    <w:p w:rsidR="00D20240" w:rsidP="00D20240" w:rsidRDefault="00D20240" w14:paraId="1009FA75" w14:textId="77777777"/>
    <w:tbl>
      <w:tblPr>
        <w:tblStyle w:val="TableGrid"/>
        <w:tblW w:w="0" w:type="auto"/>
        <w:tblLook w:val="04A0" w:firstRow="1" w:lastRow="0" w:firstColumn="1" w:lastColumn="0" w:noHBand="0" w:noVBand="1"/>
      </w:tblPr>
      <w:tblGrid>
        <w:gridCol w:w="1838"/>
        <w:gridCol w:w="3012"/>
        <w:gridCol w:w="3012"/>
        <w:gridCol w:w="3012"/>
        <w:gridCol w:w="3013"/>
      </w:tblGrid>
      <w:tr w:rsidRPr="005156F6" w:rsidR="00D20240" w:rsidTr="00AC559D" w14:paraId="5A09531E" w14:textId="77777777">
        <w:tc>
          <w:tcPr>
            <w:tcW w:w="1838" w:type="dxa"/>
          </w:tcPr>
          <w:p w:rsidRPr="005156F6" w:rsidR="00D20240" w:rsidP="00AC559D" w:rsidRDefault="00D20240" w14:paraId="69DA0549" w14:textId="77777777">
            <w:pPr>
              <w:rPr>
                <w:b/>
                <w:sz w:val="24"/>
                <w:szCs w:val="24"/>
              </w:rPr>
            </w:pPr>
            <w:r w:rsidRPr="005156F6">
              <w:rPr>
                <w:b/>
                <w:sz w:val="24"/>
                <w:szCs w:val="24"/>
              </w:rPr>
              <w:t>Work stream</w:t>
            </w:r>
          </w:p>
        </w:tc>
        <w:tc>
          <w:tcPr>
            <w:tcW w:w="3012" w:type="dxa"/>
          </w:tcPr>
          <w:p w:rsidRPr="005156F6" w:rsidR="00D20240" w:rsidP="00AC559D" w:rsidRDefault="00D20240" w14:paraId="6C09B6DB" w14:textId="77777777">
            <w:pPr>
              <w:jc w:val="center"/>
              <w:rPr>
                <w:b/>
                <w:sz w:val="24"/>
                <w:szCs w:val="24"/>
              </w:rPr>
            </w:pPr>
            <w:r w:rsidRPr="005156F6">
              <w:rPr>
                <w:b/>
                <w:sz w:val="24"/>
                <w:szCs w:val="24"/>
              </w:rPr>
              <w:t>6-12 months</w:t>
            </w:r>
          </w:p>
        </w:tc>
        <w:tc>
          <w:tcPr>
            <w:tcW w:w="3012" w:type="dxa"/>
          </w:tcPr>
          <w:p w:rsidRPr="005156F6" w:rsidR="00D20240" w:rsidP="00AC559D" w:rsidRDefault="00D20240" w14:paraId="4BB8DAA1" w14:textId="77777777">
            <w:pPr>
              <w:jc w:val="center"/>
              <w:rPr>
                <w:b/>
                <w:sz w:val="24"/>
                <w:szCs w:val="24"/>
              </w:rPr>
            </w:pPr>
            <w:r w:rsidRPr="005156F6">
              <w:rPr>
                <w:b/>
                <w:sz w:val="24"/>
                <w:szCs w:val="24"/>
              </w:rPr>
              <w:t>1 to 2 years</w:t>
            </w:r>
          </w:p>
        </w:tc>
        <w:tc>
          <w:tcPr>
            <w:tcW w:w="3012" w:type="dxa"/>
          </w:tcPr>
          <w:p w:rsidRPr="005156F6" w:rsidR="00D20240" w:rsidP="00AC559D" w:rsidRDefault="00D20240" w14:paraId="0DA8420F" w14:textId="77777777">
            <w:pPr>
              <w:jc w:val="center"/>
              <w:rPr>
                <w:b/>
                <w:sz w:val="24"/>
                <w:szCs w:val="24"/>
              </w:rPr>
            </w:pPr>
            <w:r w:rsidRPr="005156F6">
              <w:rPr>
                <w:b/>
                <w:sz w:val="24"/>
                <w:szCs w:val="24"/>
              </w:rPr>
              <w:t>2 to 5 years</w:t>
            </w:r>
          </w:p>
        </w:tc>
        <w:tc>
          <w:tcPr>
            <w:tcW w:w="3013" w:type="dxa"/>
          </w:tcPr>
          <w:p w:rsidRPr="005156F6" w:rsidR="00D20240" w:rsidP="00AC559D" w:rsidRDefault="00D20240" w14:paraId="0AFAFEB0" w14:textId="77777777">
            <w:pPr>
              <w:jc w:val="center"/>
              <w:rPr>
                <w:b/>
                <w:sz w:val="24"/>
                <w:szCs w:val="24"/>
              </w:rPr>
            </w:pPr>
            <w:r>
              <w:rPr>
                <w:b/>
                <w:sz w:val="24"/>
                <w:szCs w:val="24"/>
              </w:rPr>
              <w:t>Success Measures</w:t>
            </w:r>
          </w:p>
        </w:tc>
      </w:tr>
      <w:tr w:rsidRPr="005156F6" w:rsidR="00D20240" w:rsidTr="00AC559D" w14:paraId="33A54B9D" w14:textId="77777777">
        <w:tc>
          <w:tcPr>
            <w:tcW w:w="1838" w:type="dxa"/>
            <w:shd w:val="clear" w:color="auto" w:fill="DEEAF6" w:themeFill="accent1" w:themeFillTint="33"/>
          </w:tcPr>
          <w:p w:rsidRPr="005156F6" w:rsidR="00D20240" w:rsidP="00AC559D" w:rsidRDefault="00D20240" w14:paraId="32C6940B" w14:textId="77777777">
            <w:pPr>
              <w:rPr>
                <w:b/>
                <w:i/>
                <w:sz w:val="24"/>
                <w:szCs w:val="24"/>
              </w:rPr>
            </w:pPr>
            <w:r>
              <w:rPr>
                <w:b/>
                <w:i/>
                <w:sz w:val="24"/>
                <w:szCs w:val="24"/>
              </w:rPr>
              <w:t xml:space="preserve">Sustainability </w:t>
            </w:r>
          </w:p>
        </w:tc>
        <w:tc>
          <w:tcPr>
            <w:tcW w:w="3012" w:type="dxa"/>
            <w:shd w:val="clear" w:color="auto" w:fill="DEEAF6" w:themeFill="accent1" w:themeFillTint="33"/>
          </w:tcPr>
          <w:p w:rsidR="00D20240" w:rsidP="00AC559D" w:rsidRDefault="00D20240" w14:paraId="072A444A" w14:textId="77777777">
            <w:r>
              <w:t>Follow up on technician survey to monitor actions taken / progress since last survey</w:t>
            </w:r>
          </w:p>
          <w:p w:rsidR="00D20240" w:rsidP="00AC559D" w:rsidRDefault="00D20240" w14:paraId="7B8A79A2" w14:textId="77777777"/>
          <w:p w:rsidR="00D20240" w:rsidP="00AC559D" w:rsidRDefault="00D20240" w14:paraId="0A69493F" w14:textId="461C7F19">
            <w:r>
              <w:t>Ensure that we work with Athena Swan at all stages to avoid repetition of work</w:t>
            </w:r>
          </w:p>
          <w:p w:rsidR="00D20240" w:rsidP="00AC559D" w:rsidRDefault="00D20240" w14:paraId="042BA013" w14:textId="77777777"/>
          <w:p w:rsidRPr="008746F9" w:rsidR="00D20240" w:rsidP="00AC559D" w:rsidRDefault="00D20240" w14:paraId="18A8B67F" w14:textId="77777777">
            <w:r>
              <w:t>Enhance and maintain opportunities for Technicians to network, engage and build relationships with other national bodies / HEI’s to increase knowledge sharing and development opportunities</w:t>
            </w:r>
          </w:p>
        </w:tc>
        <w:tc>
          <w:tcPr>
            <w:tcW w:w="3012" w:type="dxa"/>
            <w:shd w:val="clear" w:color="auto" w:fill="DEEAF6" w:themeFill="accent1" w:themeFillTint="33"/>
          </w:tcPr>
          <w:p w:rsidR="00D20240" w:rsidP="00AC559D" w:rsidRDefault="00D20240" w14:paraId="1B6DE574" w14:textId="77777777">
            <w:r>
              <w:t xml:space="preserve">Establish routes to allow technical staff to apply for funding to attend appropriate conferences to both develop and knowledge-share their expertise </w:t>
            </w:r>
          </w:p>
          <w:p w:rsidR="00D20240" w:rsidP="00AC559D" w:rsidRDefault="00D20240" w14:paraId="62085946" w14:textId="77777777"/>
          <w:p w:rsidR="00D20240" w:rsidP="00AC559D" w:rsidRDefault="00436AC3" w14:paraId="7555ACDD" w14:textId="4E87C1D7">
            <w:r>
              <w:t>Fully u</w:t>
            </w:r>
            <w:r w:rsidRPr="00071342" w:rsidR="00D20240">
              <w:t>tilis</w:t>
            </w:r>
            <w:r>
              <w:t>e</w:t>
            </w:r>
            <w:r w:rsidR="00D20240">
              <w:t xml:space="preserve"> the apprenticeship levy</w:t>
            </w:r>
          </w:p>
          <w:p w:rsidRPr="008746F9" w:rsidR="00D20240" w:rsidP="00AC559D" w:rsidRDefault="00D20240" w14:paraId="72D5A3B3" w14:textId="77777777"/>
        </w:tc>
        <w:tc>
          <w:tcPr>
            <w:tcW w:w="3012" w:type="dxa"/>
            <w:shd w:val="clear" w:color="auto" w:fill="DEEAF6" w:themeFill="accent1" w:themeFillTint="33"/>
          </w:tcPr>
          <w:p w:rsidR="00D20240" w:rsidP="00AC559D" w:rsidRDefault="00D20240" w14:paraId="08F60F54" w14:textId="77777777">
            <w:r>
              <w:t>Work towards building a sustainable talent pipeline for attracting (and maintaining) Technicians to the University</w:t>
            </w:r>
          </w:p>
          <w:p w:rsidR="00D20240" w:rsidP="00AC559D" w:rsidRDefault="00D20240" w14:paraId="62B6C262" w14:textId="77777777"/>
          <w:p w:rsidR="00D20240" w:rsidP="00AC559D" w:rsidRDefault="00D20240" w14:paraId="184C24A3" w14:textId="77777777">
            <w:r>
              <w:t xml:space="preserve">Identify equality and diversity priority areas within Technical Services and ensure we contribute/are incorporated into our Equality and Inclusion strategies </w:t>
            </w:r>
          </w:p>
          <w:p w:rsidR="00D20240" w:rsidP="00AC559D" w:rsidRDefault="00D20240" w14:paraId="3C263E6F" w14:textId="77777777"/>
          <w:p w:rsidRPr="008746F9" w:rsidR="00D20240" w:rsidP="00AC559D" w:rsidRDefault="00D20240" w14:paraId="2235EB2A" w14:textId="77777777">
            <w:r>
              <w:t>Each Faculty to have between 1-5 apprentices dependant on the size of the faculty</w:t>
            </w:r>
          </w:p>
        </w:tc>
        <w:tc>
          <w:tcPr>
            <w:tcW w:w="3013" w:type="dxa"/>
            <w:shd w:val="clear" w:color="auto" w:fill="DEEAF6" w:themeFill="accent1" w:themeFillTint="33"/>
          </w:tcPr>
          <w:p w:rsidR="00D20240" w:rsidP="00AC559D" w:rsidRDefault="00D20240" w14:paraId="098B5EA3" w14:textId="77777777">
            <w:r>
              <w:t>A diverse and (skill/knowledge-based) sustainable Technician’s community is recognisable</w:t>
            </w:r>
          </w:p>
          <w:p w:rsidR="00D20240" w:rsidP="00AC559D" w:rsidRDefault="00D20240" w14:paraId="42BA456B" w14:textId="77777777"/>
          <w:p w:rsidR="00D20240" w:rsidP="00AC559D" w:rsidRDefault="00D20240" w14:paraId="7F05E82B" w14:textId="77777777"/>
          <w:p w:rsidR="00D20240" w:rsidP="00AC559D" w:rsidRDefault="00D20240" w14:paraId="20A8B2B5" w14:textId="77777777"/>
          <w:p w:rsidR="00D20240" w:rsidP="00AC559D" w:rsidRDefault="00D20240" w14:paraId="02DC919D" w14:textId="77777777"/>
          <w:p w:rsidR="00D20240" w:rsidP="00AC559D" w:rsidRDefault="00D20240" w14:paraId="62CAEEED" w14:textId="77777777"/>
          <w:p w:rsidR="00D20240" w:rsidP="00AC559D" w:rsidRDefault="00D20240" w14:paraId="1E3CF177" w14:textId="77777777">
            <w:r>
              <w:t xml:space="preserve">Increase in job applications / apprenticeship applications </w:t>
            </w:r>
          </w:p>
          <w:p w:rsidR="00D20240" w:rsidP="00AC559D" w:rsidRDefault="00D20240" w14:paraId="230813E9" w14:textId="77777777"/>
          <w:p w:rsidRPr="008746F9" w:rsidR="00D20240" w:rsidP="00AC559D" w:rsidRDefault="00D20240" w14:paraId="07F09589" w14:textId="77777777"/>
        </w:tc>
      </w:tr>
    </w:tbl>
    <w:p w:rsidR="00D20240" w:rsidP="00D20240" w:rsidRDefault="00D20240" w14:paraId="67528B44" w14:textId="77777777"/>
    <w:p w:rsidR="00D20240" w:rsidP="00D20240" w:rsidRDefault="00D20240" w14:paraId="64B5A99C" w14:textId="77777777"/>
    <w:p w:rsidR="00032467" w:rsidP="00D535A9" w:rsidRDefault="00032467" w14:paraId="69176B1E" w14:textId="77777777"/>
    <w:sectPr w:rsidR="00032467" w:rsidSect="00962101">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8F780" w16cid:durableId="1F75B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9D" w:rsidP="00032467" w:rsidRDefault="00AC559D" w14:paraId="51D49ADD" w14:textId="77777777">
      <w:pPr>
        <w:spacing w:after="0" w:line="240" w:lineRule="auto"/>
      </w:pPr>
      <w:r>
        <w:separator/>
      </w:r>
    </w:p>
  </w:endnote>
  <w:endnote w:type="continuationSeparator" w:id="0">
    <w:p w:rsidR="00AC559D" w:rsidP="00032467" w:rsidRDefault="00AC559D" w14:paraId="6AFF8A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9D" w:rsidP="00032467" w:rsidRDefault="00AC559D" w14:paraId="74E53B32" w14:textId="77777777">
      <w:pPr>
        <w:spacing w:after="0" w:line="240" w:lineRule="auto"/>
      </w:pPr>
      <w:r>
        <w:separator/>
      </w:r>
    </w:p>
  </w:footnote>
  <w:footnote w:type="continuationSeparator" w:id="0">
    <w:p w:rsidR="00AC559D" w:rsidP="00032467" w:rsidRDefault="00AC559D" w14:paraId="02BA4448"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604"/>
    <w:multiLevelType w:val="hybridMultilevel"/>
    <w:tmpl w:val="CE0AE3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4A479E"/>
    <w:multiLevelType w:val="hybridMultilevel"/>
    <w:tmpl w:val="97FC2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67E99"/>
    <w:multiLevelType w:val="hybridMultilevel"/>
    <w:tmpl w:val="F2B839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252756"/>
    <w:multiLevelType w:val="hybridMultilevel"/>
    <w:tmpl w:val="84AE9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221E8E"/>
    <w:multiLevelType w:val="hybridMultilevel"/>
    <w:tmpl w:val="B5FAB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5238EC"/>
    <w:multiLevelType w:val="multilevel"/>
    <w:tmpl w:val="08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15:restartNumberingAfterBreak="0">
    <w:nsid w:val="256A0DB4"/>
    <w:multiLevelType w:val="hybridMultilevel"/>
    <w:tmpl w:val="C3D0A8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6915A9"/>
    <w:multiLevelType w:val="hybridMultilevel"/>
    <w:tmpl w:val="4C54838E"/>
    <w:lvl w:ilvl="0" w:tplc="873A2FE0">
      <w:start w:val="1"/>
      <w:numFmt w:val="bullet"/>
      <w:lvlText w:val="•"/>
      <w:lvlJc w:val="left"/>
      <w:pPr>
        <w:tabs>
          <w:tab w:val="num" w:pos="720"/>
        </w:tabs>
        <w:ind w:left="720" w:hanging="360"/>
      </w:pPr>
      <w:rPr>
        <w:rFonts w:hint="default" w:ascii="Arial" w:hAnsi="Arial"/>
      </w:rPr>
    </w:lvl>
    <w:lvl w:ilvl="1" w:tplc="29AE61B8" w:tentative="1">
      <w:start w:val="1"/>
      <w:numFmt w:val="bullet"/>
      <w:lvlText w:val="•"/>
      <w:lvlJc w:val="left"/>
      <w:pPr>
        <w:tabs>
          <w:tab w:val="num" w:pos="1440"/>
        </w:tabs>
        <w:ind w:left="1440" w:hanging="360"/>
      </w:pPr>
      <w:rPr>
        <w:rFonts w:hint="default" w:ascii="Arial" w:hAnsi="Arial"/>
      </w:rPr>
    </w:lvl>
    <w:lvl w:ilvl="2" w:tplc="3AF2CEDC" w:tentative="1">
      <w:start w:val="1"/>
      <w:numFmt w:val="bullet"/>
      <w:lvlText w:val="•"/>
      <w:lvlJc w:val="left"/>
      <w:pPr>
        <w:tabs>
          <w:tab w:val="num" w:pos="2160"/>
        </w:tabs>
        <w:ind w:left="2160" w:hanging="360"/>
      </w:pPr>
      <w:rPr>
        <w:rFonts w:hint="default" w:ascii="Arial" w:hAnsi="Arial"/>
      </w:rPr>
    </w:lvl>
    <w:lvl w:ilvl="3" w:tplc="5706D46A" w:tentative="1">
      <w:start w:val="1"/>
      <w:numFmt w:val="bullet"/>
      <w:lvlText w:val="•"/>
      <w:lvlJc w:val="left"/>
      <w:pPr>
        <w:tabs>
          <w:tab w:val="num" w:pos="2880"/>
        </w:tabs>
        <w:ind w:left="2880" w:hanging="360"/>
      </w:pPr>
      <w:rPr>
        <w:rFonts w:hint="default" w:ascii="Arial" w:hAnsi="Arial"/>
      </w:rPr>
    </w:lvl>
    <w:lvl w:ilvl="4" w:tplc="5E72B632" w:tentative="1">
      <w:start w:val="1"/>
      <w:numFmt w:val="bullet"/>
      <w:lvlText w:val="•"/>
      <w:lvlJc w:val="left"/>
      <w:pPr>
        <w:tabs>
          <w:tab w:val="num" w:pos="3600"/>
        </w:tabs>
        <w:ind w:left="3600" w:hanging="360"/>
      </w:pPr>
      <w:rPr>
        <w:rFonts w:hint="default" w:ascii="Arial" w:hAnsi="Arial"/>
      </w:rPr>
    </w:lvl>
    <w:lvl w:ilvl="5" w:tplc="0A4A3252" w:tentative="1">
      <w:start w:val="1"/>
      <w:numFmt w:val="bullet"/>
      <w:lvlText w:val="•"/>
      <w:lvlJc w:val="left"/>
      <w:pPr>
        <w:tabs>
          <w:tab w:val="num" w:pos="4320"/>
        </w:tabs>
        <w:ind w:left="4320" w:hanging="360"/>
      </w:pPr>
      <w:rPr>
        <w:rFonts w:hint="default" w:ascii="Arial" w:hAnsi="Arial"/>
      </w:rPr>
    </w:lvl>
    <w:lvl w:ilvl="6" w:tplc="C58E65E6" w:tentative="1">
      <w:start w:val="1"/>
      <w:numFmt w:val="bullet"/>
      <w:lvlText w:val="•"/>
      <w:lvlJc w:val="left"/>
      <w:pPr>
        <w:tabs>
          <w:tab w:val="num" w:pos="5040"/>
        </w:tabs>
        <w:ind w:left="5040" w:hanging="360"/>
      </w:pPr>
      <w:rPr>
        <w:rFonts w:hint="default" w:ascii="Arial" w:hAnsi="Arial"/>
      </w:rPr>
    </w:lvl>
    <w:lvl w:ilvl="7" w:tplc="AD68E2AE" w:tentative="1">
      <w:start w:val="1"/>
      <w:numFmt w:val="bullet"/>
      <w:lvlText w:val="•"/>
      <w:lvlJc w:val="left"/>
      <w:pPr>
        <w:tabs>
          <w:tab w:val="num" w:pos="5760"/>
        </w:tabs>
        <w:ind w:left="5760" w:hanging="360"/>
      </w:pPr>
      <w:rPr>
        <w:rFonts w:hint="default" w:ascii="Arial" w:hAnsi="Arial"/>
      </w:rPr>
    </w:lvl>
    <w:lvl w:ilvl="8" w:tplc="B5004F7E"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38055C73"/>
    <w:multiLevelType w:val="hybridMultilevel"/>
    <w:tmpl w:val="C35C2398"/>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3C4C7472"/>
    <w:multiLevelType w:val="hybridMultilevel"/>
    <w:tmpl w:val="27B0F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A206D5"/>
    <w:multiLevelType w:val="hybridMultilevel"/>
    <w:tmpl w:val="71462A6A"/>
    <w:lvl w:ilvl="0" w:tplc="7DD249BC">
      <w:start w:val="1"/>
      <w:numFmt w:val="bullet"/>
      <w:lvlText w:val="•"/>
      <w:lvlJc w:val="left"/>
      <w:pPr>
        <w:tabs>
          <w:tab w:val="num" w:pos="720"/>
        </w:tabs>
        <w:ind w:left="720" w:hanging="360"/>
      </w:pPr>
      <w:rPr>
        <w:rFonts w:hint="default" w:ascii="Arial" w:hAnsi="Arial"/>
      </w:rPr>
    </w:lvl>
    <w:lvl w:ilvl="1" w:tplc="FDFA1F52" w:tentative="1">
      <w:start w:val="1"/>
      <w:numFmt w:val="bullet"/>
      <w:lvlText w:val="•"/>
      <w:lvlJc w:val="left"/>
      <w:pPr>
        <w:tabs>
          <w:tab w:val="num" w:pos="1440"/>
        </w:tabs>
        <w:ind w:left="1440" w:hanging="360"/>
      </w:pPr>
      <w:rPr>
        <w:rFonts w:hint="default" w:ascii="Arial" w:hAnsi="Arial"/>
      </w:rPr>
    </w:lvl>
    <w:lvl w:ilvl="2" w:tplc="112E6FE2" w:tentative="1">
      <w:start w:val="1"/>
      <w:numFmt w:val="bullet"/>
      <w:lvlText w:val="•"/>
      <w:lvlJc w:val="left"/>
      <w:pPr>
        <w:tabs>
          <w:tab w:val="num" w:pos="2160"/>
        </w:tabs>
        <w:ind w:left="2160" w:hanging="360"/>
      </w:pPr>
      <w:rPr>
        <w:rFonts w:hint="default" w:ascii="Arial" w:hAnsi="Arial"/>
      </w:rPr>
    </w:lvl>
    <w:lvl w:ilvl="3" w:tplc="A1AE3CA2" w:tentative="1">
      <w:start w:val="1"/>
      <w:numFmt w:val="bullet"/>
      <w:lvlText w:val="•"/>
      <w:lvlJc w:val="left"/>
      <w:pPr>
        <w:tabs>
          <w:tab w:val="num" w:pos="2880"/>
        </w:tabs>
        <w:ind w:left="2880" w:hanging="360"/>
      </w:pPr>
      <w:rPr>
        <w:rFonts w:hint="default" w:ascii="Arial" w:hAnsi="Arial"/>
      </w:rPr>
    </w:lvl>
    <w:lvl w:ilvl="4" w:tplc="8C2AD27C" w:tentative="1">
      <w:start w:val="1"/>
      <w:numFmt w:val="bullet"/>
      <w:lvlText w:val="•"/>
      <w:lvlJc w:val="left"/>
      <w:pPr>
        <w:tabs>
          <w:tab w:val="num" w:pos="3600"/>
        </w:tabs>
        <w:ind w:left="3600" w:hanging="360"/>
      </w:pPr>
      <w:rPr>
        <w:rFonts w:hint="default" w:ascii="Arial" w:hAnsi="Arial"/>
      </w:rPr>
    </w:lvl>
    <w:lvl w:ilvl="5" w:tplc="611E4AC4" w:tentative="1">
      <w:start w:val="1"/>
      <w:numFmt w:val="bullet"/>
      <w:lvlText w:val="•"/>
      <w:lvlJc w:val="left"/>
      <w:pPr>
        <w:tabs>
          <w:tab w:val="num" w:pos="4320"/>
        </w:tabs>
        <w:ind w:left="4320" w:hanging="360"/>
      </w:pPr>
      <w:rPr>
        <w:rFonts w:hint="default" w:ascii="Arial" w:hAnsi="Arial"/>
      </w:rPr>
    </w:lvl>
    <w:lvl w:ilvl="6" w:tplc="A08A54E4" w:tentative="1">
      <w:start w:val="1"/>
      <w:numFmt w:val="bullet"/>
      <w:lvlText w:val="•"/>
      <w:lvlJc w:val="left"/>
      <w:pPr>
        <w:tabs>
          <w:tab w:val="num" w:pos="5040"/>
        </w:tabs>
        <w:ind w:left="5040" w:hanging="360"/>
      </w:pPr>
      <w:rPr>
        <w:rFonts w:hint="default" w:ascii="Arial" w:hAnsi="Arial"/>
      </w:rPr>
    </w:lvl>
    <w:lvl w:ilvl="7" w:tplc="447258C6" w:tentative="1">
      <w:start w:val="1"/>
      <w:numFmt w:val="bullet"/>
      <w:lvlText w:val="•"/>
      <w:lvlJc w:val="left"/>
      <w:pPr>
        <w:tabs>
          <w:tab w:val="num" w:pos="5760"/>
        </w:tabs>
        <w:ind w:left="5760" w:hanging="360"/>
      </w:pPr>
      <w:rPr>
        <w:rFonts w:hint="default" w:ascii="Arial" w:hAnsi="Arial"/>
      </w:rPr>
    </w:lvl>
    <w:lvl w:ilvl="8" w:tplc="0700F914"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5A7E4DF8"/>
    <w:multiLevelType w:val="hybridMultilevel"/>
    <w:tmpl w:val="D1148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966767"/>
    <w:multiLevelType w:val="hybridMultilevel"/>
    <w:tmpl w:val="6DC2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E3377A5"/>
    <w:multiLevelType w:val="hybridMultilevel"/>
    <w:tmpl w:val="CB806192"/>
    <w:lvl w:ilvl="0" w:tplc="7C0EA786">
      <w:start w:val="1"/>
      <w:numFmt w:val="bullet"/>
      <w:lvlText w:val=""/>
      <w:lvlJc w:val="left"/>
      <w:pPr>
        <w:ind w:left="720" w:hanging="360"/>
      </w:pPr>
      <w:rPr>
        <w:rFonts w:hint="default" w:ascii="Symbol" w:hAnsi="Symbol"/>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1CF6B2A"/>
    <w:multiLevelType w:val="hybridMultilevel"/>
    <w:tmpl w:val="F44A7D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8"/>
  </w:num>
  <w:num w:numId="4">
    <w:abstractNumId w:val="4"/>
  </w:num>
  <w:num w:numId="5">
    <w:abstractNumId w:val="0"/>
  </w:num>
  <w:num w:numId="6">
    <w:abstractNumId w:val="2"/>
  </w:num>
  <w:num w:numId="7">
    <w:abstractNumId w:val="3"/>
  </w:num>
  <w:num w:numId="8">
    <w:abstractNumId w:val="6"/>
  </w:num>
  <w:num w:numId="9">
    <w:abstractNumId w:val="13"/>
  </w:num>
  <w:num w:numId="10">
    <w:abstractNumId w:val="10"/>
  </w:num>
  <w:num w:numId="11">
    <w:abstractNumId w:val="7"/>
  </w:num>
  <w:num w:numId="12">
    <w:abstractNumId w:val="14"/>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23"/>
    <w:rsid w:val="00011EF6"/>
    <w:rsid w:val="00015A65"/>
    <w:rsid w:val="00022D8E"/>
    <w:rsid w:val="00032467"/>
    <w:rsid w:val="00032527"/>
    <w:rsid w:val="0006627F"/>
    <w:rsid w:val="00071F8A"/>
    <w:rsid w:val="000D6F04"/>
    <w:rsid w:val="000F54F4"/>
    <w:rsid w:val="0010799C"/>
    <w:rsid w:val="00112548"/>
    <w:rsid w:val="00131EFA"/>
    <w:rsid w:val="0013295A"/>
    <w:rsid w:val="00150809"/>
    <w:rsid w:val="00154D24"/>
    <w:rsid w:val="00154E66"/>
    <w:rsid w:val="00175A82"/>
    <w:rsid w:val="00177F91"/>
    <w:rsid w:val="00190105"/>
    <w:rsid w:val="001C785B"/>
    <w:rsid w:val="001F5D3A"/>
    <w:rsid w:val="0021271E"/>
    <w:rsid w:val="00214A40"/>
    <w:rsid w:val="00231ED3"/>
    <w:rsid w:val="0023547B"/>
    <w:rsid w:val="002421DA"/>
    <w:rsid w:val="002617F8"/>
    <w:rsid w:val="00266C8A"/>
    <w:rsid w:val="002705B3"/>
    <w:rsid w:val="00272477"/>
    <w:rsid w:val="00287C9F"/>
    <w:rsid w:val="002963CC"/>
    <w:rsid w:val="002A693C"/>
    <w:rsid w:val="002B63A8"/>
    <w:rsid w:val="002D5FB8"/>
    <w:rsid w:val="00307E42"/>
    <w:rsid w:val="00323425"/>
    <w:rsid w:val="003237EA"/>
    <w:rsid w:val="003305FE"/>
    <w:rsid w:val="003407B1"/>
    <w:rsid w:val="00346593"/>
    <w:rsid w:val="003479F5"/>
    <w:rsid w:val="00355F96"/>
    <w:rsid w:val="00366823"/>
    <w:rsid w:val="0037334B"/>
    <w:rsid w:val="00384AF7"/>
    <w:rsid w:val="00385E7C"/>
    <w:rsid w:val="003969FC"/>
    <w:rsid w:val="003D23C7"/>
    <w:rsid w:val="003E2EB1"/>
    <w:rsid w:val="003E7134"/>
    <w:rsid w:val="003F32F2"/>
    <w:rsid w:val="00410493"/>
    <w:rsid w:val="00422E99"/>
    <w:rsid w:val="00436AC3"/>
    <w:rsid w:val="0045090F"/>
    <w:rsid w:val="00454116"/>
    <w:rsid w:val="004A1827"/>
    <w:rsid w:val="004D55BC"/>
    <w:rsid w:val="004D56C2"/>
    <w:rsid w:val="004D5E54"/>
    <w:rsid w:val="004F4EE3"/>
    <w:rsid w:val="00502819"/>
    <w:rsid w:val="00504C25"/>
    <w:rsid w:val="00505854"/>
    <w:rsid w:val="00507831"/>
    <w:rsid w:val="005357C0"/>
    <w:rsid w:val="00542EF5"/>
    <w:rsid w:val="00571135"/>
    <w:rsid w:val="005949FD"/>
    <w:rsid w:val="005A011A"/>
    <w:rsid w:val="005D58DE"/>
    <w:rsid w:val="005D624E"/>
    <w:rsid w:val="005E2F3C"/>
    <w:rsid w:val="005F43D6"/>
    <w:rsid w:val="0060171B"/>
    <w:rsid w:val="006067F2"/>
    <w:rsid w:val="0060756C"/>
    <w:rsid w:val="00617B79"/>
    <w:rsid w:val="00624B96"/>
    <w:rsid w:val="00631CDB"/>
    <w:rsid w:val="006457C6"/>
    <w:rsid w:val="006547E6"/>
    <w:rsid w:val="00657A20"/>
    <w:rsid w:val="00685728"/>
    <w:rsid w:val="00685F13"/>
    <w:rsid w:val="006A1F33"/>
    <w:rsid w:val="006D0D6F"/>
    <w:rsid w:val="006E3563"/>
    <w:rsid w:val="006F5301"/>
    <w:rsid w:val="007025F1"/>
    <w:rsid w:val="007027F0"/>
    <w:rsid w:val="007101EB"/>
    <w:rsid w:val="00715D2C"/>
    <w:rsid w:val="007170E7"/>
    <w:rsid w:val="007249BD"/>
    <w:rsid w:val="0072716B"/>
    <w:rsid w:val="00733C2F"/>
    <w:rsid w:val="00742AE1"/>
    <w:rsid w:val="0075237B"/>
    <w:rsid w:val="00761D96"/>
    <w:rsid w:val="00773B74"/>
    <w:rsid w:val="00783538"/>
    <w:rsid w:val="00790603"/>
    <w:rsid w:val="00797912"/>
    <w:rsid w:val="007D4506"/>
    <w:rsid w:val="007E7AA0"/>
    <w:rsid w:val="00800950"/>
    <w:rsid w:val="008151AA"/>
    <w:rsid w:val="00821B18"/>
    <w:rsid w:val="008306CA"/>
    <w:rsid w:val="00834B73"/>
    <w:rsid w:val="00835EC1"/>
    <w:rsid w:val="0084291C"/>
    <w:rsid w:val="00846106"/>
    <w:rsid w:val="008657C6"/>
    <w:rsid w:val="0088637A"/>
    <w:rsid w:val="00886514"/>
    <w:rsid w:val="008A249E"/>
    <w:rsid w:val="008B6A7E"/>
    <w:rsid w:val="008D2804"/>
    <w:rsid w:val="008D3AAE"/>
    <w:rsid w:val="008F3047"/>
    <w:rsid w:val="00901003"/>
    <w:rsid w:val="00920F64"/>
    <w:rsid w:val="00923A05"/>
    <w:rsid w:val="009263CB"/>
    <w:rsid w:val="00941E2A"/>
    <w:rsid w:val="0094293F"/>
    <w:rsid w:val="00947E82"/>
    <w:rsid w:val="00952E50"/>
    <w:rsid w:val="00962101"/>
    <w:rsid w:val="00987F2A"/>
    <w:rsid w:val="009A2531"/>
    <w:rsid w:val="009D207D"/>
    <w:rsid w:val="009D2FDA"/>
    <w:rsid w:val="009E6457"/>
    <w:rsid w:val="009E6FEE"/>
    <w:rsid w:val="00A22778"/>
    <w:rsid w:val="00A34231"/>
    <w:rsid w:val="00A5748A"/>
    <w:rsid w:val="00A62488"/>
    <w:rsid w:val="00A637F9"/>
    <w:rsid w:val="00A6501D"/>
    <w:rsid w:val="00A7304F"/>
    <w:rsid w:val="00A91A07"/>
    <w:rsid w:val="00A93D86"/>
    <w:rsid w:val="00AA5C1F"/>
    <w:rsid w:val="00AC05D3"/>
    <w:rsid w:val="00AC559D"/>
    <w:rsid w:val="00AD2199"/>
    <w:rsid w:val="00B017CC"/>
    <w:rsid w:val="00B3171A"/>
    <w:rsid w:val="00B51888"/>
    <w:rsid w:val="00B60D3B"/>
    <w:rsid w:val="00B74F69"/>
    <w:rsid w:val="00B75B87"/>
    <w:rsid w:val="00B86A84"/>
    <w:rsid w:val="00B94D06"/>
    <w:rsid w:val="00BC3319"/>
    <w:rsid w:val="00BC711E"/>
    <w:rsid w:val="00BC7F77"/>
    <w:rsid w:val="00BD2438"/>
    <w:rsid w:val="00BD6802"/>
    <w:rsid w:val="00BE498C"/>
    <w:rsid w:val="00BE7822"/>
    <w:rsid w:val="00C011FD"/>
    <w:rsid w:val="00C046FC"/>
    <w:rsid w:val="00C24D75"/>
    <w:rsid w:val="00C3653E"/>
    <w:rsid w:val="00C41A79"/>
    <w:rsid w:val="00C41F00"/>
    <w:rsid w:val="00C767C0"/>
    <w:rsid w:val="00C77045"/>
    <w:rsid w:val="00C90B42"/>
    <w:rsid w:val="00C93EFA"/>
    <w:rsid w:val="00CA71DE"/>
    <w:rsid w:val="00CA7647"/>
    <w:rsid w:val="00CD314B"/>
    <w:rsid w:val="00D06AB6"/>
    <w:rsid w:val="00D1632F"/>
    <w:rsid w:val="00D20240"/>
    <w:rsid w:val="00D2117F"/>
    <w:rsid w:val="00D3102F"/>
    <w:rsid w:val="00D413C3"/>
    <w:rsid w:val="00D42C09"/>
    <w:rsid w:val="00D535A9"/>
    <w:rsid w:val="00D92E33"/>
    <w:rsid w:val="00DA0F12"/>
    <w:rsid w:val="00DA1240"/>
    <w:rsid w:val="00DB5D7F"/>
    <w:rsid w:val="00DB79E2"/>
    <w:rsid w:val="00DC192F"/>
    <w:rsid w:val="00E173EF"/>
    <w:rsid w:val="00E209C3"/>
    <w:rsid w:val="00E24412"/>
    <w:rsid w:val="00E365DE"/>
    <w:rsid w:val="00E65076"/>
    <w:rsid w:val="00E65E95"/>
    <w:rsid w:val="00E740C8"/>
    <w:rsid w:val="00E92DE0"/>
    <w:rsid w:val="00E96B07"/>
    <w:rsid w:val="00EB0BE4"/>
    <w:rsid w:val="00EC3303"/>
    <w:rsid w:val="00ED31E6"/>
    <w:rsid w:val="00ED4251"/>
    <w:rsid w:val="00F01C7D"/>
    <w:rsid w:val="00F24463"/>
    <w:rsid w:val="00F30429"/>
    <w:rsid w:val="00F35F25"/>
    <w:rsid w:val="00F4270B"/>
    <w:rsid w:val="00F96679"/>
    <w:rsid w:val="00FA3477"/>
    <w:rsid w:val="00FA6F4A"/>
    <w:rsid w:val="00FA6FD1"/>
    <w:rsid w:val="00FE45A6"/>
    <w:rsid w:val="00FE53EC"/>
    <w:rsid w:val="00FF5E8C"/>
    <w:rsid w:val="10C84497"/>
    <w:rsid w:val="42426DB8"/>
    <w:rsid w:val="64BB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059410A"/>
  <w15:chartTrackingRefBased/>
  <w15:docId w15:val="{2FB9617E-E6FA-4D4E-B85C-C4B49B3F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2467"/>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2467"/>
  </w:style>
  <w:style w:type="paragraph" w:styleId="Footer">
    <w:name w:val="footer"/>
    <w:basedOn w:val="Normal"/>
    <w:link w:val="FooterChar"/>
    <w:uiPriority w:val="99"/>
    <w:unhideWhenUsed/>
    <w:rsid w:val="00032467"/>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2467"/>
  </w:style>
  <w:style w:type="paragraph" w:styleId="ListParagraph">
    <w:name w:val="List Paragraph"/>
    <w:basedOn w:val="Normal"/>
    <w:uiPriority w:val="34"/>
    <w:qFormat/>
    <w:rsid w:val="0060171B"/>
    <w:pPr>
      <w:ind w:left="720"/>
      <w:contextualSpacing/>
    </w:pPr>
  </w:style>
  <w:style w:type="character" w:styleId="Hyperlink">
    <w:name w:val="Hyperlink"/>
    <w:basedOn w:val="DefaultParagraphFont"/>
    <w:uiPriority w:val="99"/>
    <w:unhideWhenUsed/>
    <w:rsid w:val="00266C8A"/>
    <w:rPr>
      <w:color w:val="0563C1" w:themeColor="hyperlink"/>
      <w:u w:val="single"/>
    </w:rPr>
  </w:style>
  <w:style w:type="character" w:styleId="UnresolvedMention1" w:customStyle="1">
    <w:name w:val="Unresolved Mention1"/>
    <w:basedOn w:val="DefaultParagraphFont"/>
    <w:uiPriority w:val="99"/>
    <w:semiHidden/>
    <w:unhideWhenUsed/>
    <w:rsid w:val="00266C8A"/>
    <w:rPr>
      <w:color w:val="808080"/>
      <w:shd w:val="clear" w:color="auto" w:fill="E6E6E6"/>
    </w:rPr>
  </w:style>
  <w:style w:type="table" w:styleId="TableGrid">
    <w:name w:val="Table Grid"/>
    <w:basedOn w:val="TableNormal"/>
    <w:uiPriority w:val="39"/>
    <w:rsid w:val="00F244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4D5E54"/>
    <w:rPr>
      <w:sz w:val="16"/>
      <w:szCs w:val="16"/>
    </w:rPr>
  </w:style>
  <w:style w:type="paragraph" w:styleId="CommentText">
    <w:name w:val="annotation text"/>
    <w:basedOn w:val="Normal"/>
    <w:link w:val="CommentTextChar"/>
    <w:uiPriority w:val="99"/>
    <w:semiHidden/>
    <w:unhideWhenUsed/>
    <w:rsid w:val="004D5E54"/>
    <w:pPr>
      <w:spacing w:line="240" w:lineRule="auto"/>
    </w:pPr>
    <w:rPr>
      <w:sz w:val="20"/>
      <w:szCs w:val="20"/>
    </w:rPr>
  </w:style>
  <w:style w:type="character" w:styleId="CommentTextChar" w:customStyle="1">
    <w:name w:val="Comment Text Char"/>
    <w:basedOn w:val="DefaultParagraphFont"/>
    <w:link w:val="CommentText"/>
    <w:uiPriority w:val="99"/>
    <w:semiHidden/>
    <w:rsid w:val="004D5E54"/>
    <w:rPr>
      <w:sz w:val="20"/>
      <w:szCs w:val="20"/>
    </w:rPr>
  </w:style>
  <w:style w:type="paragraph" w:styleId="CommentSubject">
    <w:name w:val="annotation subject"/>
    <w:basedOn w:val="CommentText"/>
    <w:next w:val="CommentText"/>
    <w:link w:val="CommentSubjectChar"/>
    <w:uiPriority w:val="99"/>
    <w:semiHidden/>
    <w:unhideWhenUsed/>
    <w:rsid w:val="004D5E54"/>
    <w:rPr>
      <w:b/>
      <w:bCs/>
    </w:rPr>
  </w:style>
  <w:style w:type="character" w:styleId="CommentSubjectChar" w:customStyle="1">
    <w:name w:val="Comment Subject Char"/>
    <w:basedOn w:val="CommentTextChar"/>
    <w:link w:val="CommentSubject"/>
    <w:uiPriority w:val="99"/>
    <w:semiHidden/>
    <w:rsid w:val="004D5E54"/>
    <w:rPr>
      <w:b/>
      <w:bCs/>
      <w:sz w:val="20"/>
      <w:szCs w:val="20"/>
    </w:rPr>
  </w:style>
  <w:style w:type="paragraph" w:styleId="BalloonText">
    <w:name w:val="Balloon Text"/>
    <w:basedOn w:val="Normal"/>
    <w:link w:val="BalloonTextChar"/>
    <w:uiPriority w:val="99"/>
    <w:semiHidden/>
    <w:unhideWhenUsed/>
    <w:rsid w:val="004D5E5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D5E54"/>
    <w:rPr>
      <w:rFonts w:ascii="Segoe UI" w:hAnsi="Segoe UI" w:cs="Segoe UI"/>
      <w:sz w:val="18"/>
      <w:szCs w:val="18"/>
    </w:rPr>
  </w:style>
  <w:style w:type="paragraph" w:styleId="lead" w:customStyle="1">
    <w:name w:val="lead"/>
    <w:basedOn w:val="Normal"/>
    <w:rsid w:val="009D207D"/>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9D207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5017">
      <w:bodyDiv w:val="1"/>
      <w:marLeft w:val="0"/>
      <w:marRight w:val="0"/>
      <w:marTop w:val="0"/>
      <w:marBottom w:val="0"/>
      <w:divBdr>
        <w:top w:val="none" w:sz="0" w:space="0" w:color="auto"/>
        <w:left w:val="none" w:sz="0" w:space="0" w:color="auto"/>
        <w:bottom w:val="none" w:sz="0" w:space="0" w:color="auto"/>
        <w:right w:val="none" w:sz="0" w:space="0" w:color="auto"/>
      </w:divBdr>
      <w:divsChild>
        <w:div w:id="1564370504">
          <w:marLeft w:val="0"/>
          <w:marRight w:val="0"/>
          <w:marTop w:val="0"/>
          <w:marBottom w:val="0"/>
          <w:divBdr>
            <w:top w:val="none" w:sz="0" w:space="0" w:color="auto"/>
            <w:left w:val="none" w:sz="0" w:space="0" w:color="auto"/>
            <w:bottom w:val="none" w:sz="0" w:space="0" w:color="auto"/>
            <w:right w:val="none" w:sz="0" w:space="0" w:color="auto"/>
          </w:divBdr>
          <w:divsChild>
            <w:div w:id="371923268">
              <w:marLeft w:val="0"/>
              <w:marRight w:val="0"/>
              <w:marTop w:val="0"/>
              <w:marBottom w:val="0"/>
              <w:divBdr>
                <w:top w:val="none" w:sz="0" w:space="0" w:color="auto"/>
                <w:left w:val="none" w:sz="0" w:space="0" w:color="auto"/>
                <w:bottom w:val="none" w:sz="0" w:space="0" w:color="auto"/>
                <w:right w:val="none" w:sz="0" w:space="0" w:color="auto"/>
              </w:divBdr>
              <w:divsChild>
                <w:div w:id="13044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6320">
          <w:marLeft w:val="0"/>
          <w:marRight w:val="0"/>
          <w:marTop w:val="0"/>
          <w:marBottom w:val="0"/>
          <w:divBdr>
            <w:top w:val="none" w:sz="0" w:space="0" w:color="auto"/>
            <w:left w:val="none" w:sz="0" w:space="0" w:color="auto"/>
            <w:bottom w:val="none" w:sz="0" w:space="0" w:color="auto"/>
            <w:right w:val="none" w:sz="0" w:space="0" w:color="auto"/>
          </w:divBdr>
        </w:div>
      </w:divsChild>
    </w:div>
    <w:div w:id="562833226">
      <w:bodyDiv w:val="1"/>
      <w:marLeft w:val="0"/>
      <w:marRight w:val="0"/>
      <w:marTop w:val="0"/>
      <w:marBottom w:val="0"/>
      <w:divBdr>
        <w:top w:val="none" w:sz="0" w:space="0" w:color="auto"/>
        <w:left w:val="none" w:sz="0" w:space="0" w:color="auto"/>
        <w:bottom w:val="none" w:sz="0" w:space="0" w:color="auto"/>
        <w:right w:val="none" w:sz="0" w:space="0" w:color="auto"/>
      </w:divBdr>
      <w:divsChild>
        <w:div w:id="611088248">
          <w:marLeft w:val="274"/>
          <w:marRight w:val="0"/>
          <w:marTop w:val="0"/>
          <w:marBottom w:val="0"/>
          <w:divBdr>
            <w:top w:val="none" w:sz="0" w:space="0" w:color="auto"/>
            <w:left w:val="none" w:sz="0" w:space="0" w:color="auto"/>
            <w:bottom w:val="none" w:sz="0" w:space="0" w:color="auto"/>
            <w:right w:val="none" w:sz="0" w:space="0" w:color="auto"/>
          </w:divBdr>
        </w:div>
        <w:div w:id="2091778893">
          <w:marLeft w:val="274"/>
          <w:marRight w:val="0"/>
          <w:marTop w:val="0"/>
          <w:marBottom w:val="0"/>
          <w:divBdr>
            <w:top w:val="none" w:sz="0" w:space="0" w:color="auto"/>
            <w:left w:val="none" w:sz="0" w:space="0" w:color="auto"/>
            <w:bottom w:val="none" w:sz="0" w:space="0" w:color="auto"/>
            <w:right w:val="none" w:sz="0" w:space="0" w:color="auto"/>
          </w:divBdr>
        </w:div>
        <w:div w:id="1487168602">
          <w:marLeft w:val="274"/>
          <w:marRight w:val="0"/>
          <w:marTop w:val="0"/>
          <w:marBottom w:val="0"/>
          <w:divBdr>
            <w:top w:val="none" w:sz="0" w:space="0" w:color="auto"/>
            <w:left w:val="none" w:sz="0" w:space="0" w:color="auto"/>
            <w:bottom w:val="none" w:sz="0" w:space="0" w:color="auto"/>
            <w:right w:val="none" w:sz="0" w:space="0" w:color="auto"/>
          </w:divBdr>
        </w:div>
        <w:div w:id="1460758760">
          <w:marLeft w:val="274"/>
          <w:marRight w:val="0"/>
          <w:marTop w:val="0"/>
          <w:marBottom w:val="0"/>
          <w:divBdr>
            <w:top w:val="none" w:sz="0" w:space="0" w:color="auto"/>
            <w:left w:val="none" w:sz="0" w:space="0" w:color="auto"/>
            <w:bottom w:val="none" w:sz="0" w:space="0" w:color="auto"/>
            <w:right w:val="none" w:sz="0" w:space="0" w:color="auto"/>
          </w:divBdr>
        </w:div>
        <w:div w:id="1788888454">
          <w:marLeft w:val="274"/>
          <w:marRight w:val="0"/>
          <w:marTop w:val="0"/>
          <w:marBottom w:val="0"/>
          <w:divBdr>
            <w:top w:val="none" w:sz="0" w:space="0" w:color="auto"/>
            <w:left w:val="none" w:sz="0" w:space="0" w:color="auto"/>
            <w:bottom w:val="none" w:sz="0" w:space="0" w:color="auto"/>
            <w:right w:val="none" w:sz="0" w:space="0" w:color="auto"/>
          </w:divBdr>
        </w:div>
        <w:div w:id="916130818">
          <w:marLeft w:val="274"/>
          <w:marRight w:val="0"/>
          <w:marTop w:val="0"/>
          <w:marBottom w:val="0"/>
          <w:divBdr>
            <w:top w:val="none" w:sz="0" w:space="0" w:color="auto"/>
            <w:left w:val="none" w:sz="0" w:space="0" w:color="auto"/>
            <w:bottom w:val="none" w:sz="0" w:space="0" w:color="auto"/>
            <w:right w:val="none" w:sz="0" w:space="0" w:color="auto"/>
          </w:divBdr>
        </w:div>
        <w:div w:id="932933824">
          <w:marLeft w:val="274"/>
          <w:marRight w:val="0"/>
          <w:marTop w:val="0"/>
          <w:marBottom w:val="0"/>
          <w:divBdr>
            <w:top w:val="none" w:sz="0" w:space="0" w:color="auto"/>
            <w:left w:val="none" w:sz="0" w:space="0" w:color="auto"/>
            <w:bottom w:val="none" w:sz="0" w:space="0" w:color="auto"/>
            <w:right w:val="none" w:sz="0" w:space="0" w:color="auto"/>
          </w:divBdr>
        </w:div>
      </w:divsChild>
    </w:div>
    <w:div w:id="612319785">
      <w:bodyDiv w:val="1"/>
      <w:marLeft w:val="0"/>
      <w:marRight w:val="0"/>
      <w:marTop w:val="0"/>
      <w:marBottom w:val="0"/>
      <w:divBdr>
        <w:top w:val="none" w:sz="0" w:space="0" w:color="auto"/>
        <w:left w:val="none" w:sz="0" w:space="0" w:color="auto"/>
        <w:bottom w:val="none" w:sz="0" w:space="0" w:color="auto"/>
        <w:right w:val="none" w:sz="0" w:space="0" w:color="auto"/>
      </w:divBdr>
    </w:div>
    <w:div w:id="1071848664">
      <w:bodyDiv w:val="1"/>
      <w:marLeft w:val="0"/>
      <w:marRight w:val="0"/>
      <w:marTop w:val="0"/>
      <w:marBottom w:val="0"/>
      <w:divBdr>
        <w:top w:val="none" w:sz="0" w:space="0" w:color="auto"/>
        <w:left w:val="none" w:sz="0" w:space="0" w:color="auto"/>
        <w:bottom w:val="none" w:sz="0" w:space="0" w:color="auto"/>
        <w:right w:val="none" w:sz="0" w:space="0" w:color="auto"/>
      </w:divBdr>
      <w:divsChild>
        <w:div w:id="2144037533">
          <w:marLeft w:val="0"/>
          <w:marRight w:val="0"/>
          <w:marTop w:val="0"/>
          <w:marBottom w:val="0"/>
          <w:divBdr>
            <w:top w:val="none" w:sz="0" w:space="0" w:color="auto"/>
            <w:left w:val="none" w:sz="0" w:space="0" w:color="auto"/>
            <w:bottom w:val="none" w:sz="0" w:space="0" w:color="auto"/>
            <w:right w:val="none" w:sz="0" w:space="0" w:color="auto"/>
          </w:divBdr>
          <w:divsChild>
            <w:div w:id="251165588">
              <w:marLeft w:val="0"/>
              <w:marRight w:val="0"/>
              <w:marTop w:val="0"/>
              <w:marBottom w:val="0"/>
              <w:divBdr>
                <w:top w:val="none" w:sz="0" w:space="0" w:color="auto"/>
                <w:left w:val="none" w:sz="0" w:space="0" w:color="auto"/>
                <w:bottom w:val="none" w:sz="0" w:space="0" w:color="auto"/>
                <w:right w:val="none" w:sz="0" w:space="0" w:color="auto"/>
              </w:divBdr>
              <w:divsChild>
                <w:div w:id="15357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3136">
          <w:marLeft w:val="0"/>
          <w:marRight w:val="0"/>
          <w:marTop w:val="0"/>
          <w:marBottom w:val="0"/>
          <w:divBdr>
            <w:top w:val="none" w:sz="0" w:space="0" w:color="auto"/>
            <w:left w:val="none" w:sz="0" w:space="0" w:color="auto"/>
            <w:bottom w:val="none" w:sz="0" w:space="0" w:color="auto"/>
            <w:right w:val="none" w:sz="0" w:space="0" w:color="auto"/>
          </w:divBdr>
        </w:div>
      </w:divsChild>
    </w:div>
    <w:div w:id="1635987092">
      <w:bodyDiv w:val="1"/>
      <w:marLeft w:val="0"/>
      <w:marRight w:val="0"/>
      <w:marTop w:val="0"/>
      <w:marBottom w:val="0"/>
      <w:divBdr>
        <w:top w:val="none" w:sz="0" w:space="0" w:color="auto"/>
        <w:left w:val="none" w:sz="0" w:space="0" w:color="auto"/>
        <w:bottom w:val="none" w:sz="0" w:space="0" w:color="auto"/>
        <w:right w:val="none" w:sz="0" w:space="0" w:color="auto"/>
      </w:divBdr>
      <w:divsChild>
        <w:div w:id="735472768">
          <w:marLeft w:val="0"/>
          <w:marRight w:val="0"/>
          <w:marTop w:val="0"/>
          <w:marBottom w:val="0"/>
          <w:divBdr>
            <w:top w:val="none" w:sz="0" w:space="0" w:color="auto"/>
            <w:left w:val="none" w:sz="0" w:space="0" w:color="auto"/>
            <w:bottom w:val="none" w:sz="0" w:space="0" w:color="auto"/>
            <w:right w:val="none" w:sz="0" w:space="0" w:color="auto"/>
          </w:divBdr>
          <w:divsChild>
            <w:div w:id="1863786776">
              <w:marLeft w:val="0"/>
              <w:marRight w:val="0"/>
              <w:marTop w:val="0"/>
              <w:marBottom w:val="0"/>
              <w:divBdr>
                <w:top w:val="none" w:sz="0" w:space="0" w:color="auto"/>
                <w:left w:val="none" w:sz="0" w:space="0" w:color="auto"/>
                <w:bottom w:val="none" w:sz="0" w:space="0" w:color="auto"/>
                <w:right w:val="none" w:sz="0" w:space="0" w:color="auto"/>
              </w:divBdr>
              <w:divsChild>
                <w:div w:id="1550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8024">
          <w:marLeft w:val="0"/>
          <w:marRight w:val="0"/>
          <w:marTop w:val="0"/>
          <w:marBottom w:val="0"/>
          <w:divBdr>
            <w:top w:val="none" w:sz="0" w:space="0" w:color="auto"/>
            <w:left w:val="none" w:sz="0" w:space="0" w:color="auto"/>
            <w:bottom w:val="none" w:sz="0" w:space="0" w:color="auto"/>
            <w:right w:val="none" w:sz="0" w:space="0" w:color="auto"/>
          </w:divBdr>
        </w:div>
      </w:divsChild>
    </w:div>
    <w:div w:id="1859738879">
      <w:bodyDiv w:val="1"/>
      <w:marLeft w:val="0"/>
      <w:marRight w:val="0"/>
      <w:marTop w:val="0"/>
      <w:marBottom w:val="0"/>
      <w:divBdr>
        <w:top w:val="none" w:sz="0" w:space="0" w:color="auto"/>
        <w:left w:val="none" w:sz="0" w:space="0" w:color="auto"/>
        <w:bottom w:val="none" w:sz="0" w:space="0" w:color="auto"/>
        <w:right w:val="none" w:sz="0" w:space="0" w:color="auto"/>
      </w:divBdr>
      <w:divsChild>
        <w:div w:id="1412968070">
          <w:marLeft w:val="274"/>
          <w:marRight w:val="0"/>
          <w:marTop w:val="72"/>
          <w:marBottom w:val="0"/>
          <w:divBdr>
            <w:top w:val="none" w:sz="0" w:space="0" w:color="auto"/>
            <w:left w:val="none" w:sz="0" w:space="0" w:color="auto"/>
            <w:bottom w:val="none" w:sz="0" w:space="0" w:color="auto"/>
            <w:right w:val="none" w:sz="0" w:space="0" w:color="auto"/>
          </w:divBdr>
        </w:div>
        <w:div w:id="1245528415">
          <w:marLeft w:val="274"/>
          <w:marRight w:val="0"/>
          <w:marTop w:val="72"/>
          <w:marBottom w:val="0"/>
          <w:divBdr>
            <w:top w:val="none" w:sz="0" w:space="0" w:color="auto"/>
            <w:left w:val="none" w:sz="0" w:space="0" w:color="auto"/>
            <w:bottom w:val="none" w:sz="0" w:space="0" w:color="auto"/>
            <w:right w:val="none" w:sz="0" w:space="0" w:color="auto"/>
          </w:divBdr>
        </w:div>
        <w:div w:id="678583938">
          <w:marLeft w:val="274"/>
          <w:marRight w:val="0"/>
          <w:marTop w:val="72"/>
          <w:marBottom w:val="0"/>
          <w:divBdr>
            <w:top w:val="none" w:sz="0" w:space="0" w:color="auto"/>
            <w:left w:val="none" w:sz="0" w:space="0" w:color="auto"/>
            <w:bottom w:val="none" w:sz="0" w:space="0" w:color="auto"/>
            <w:right w:val="none" w:sz="0" w:space="0" w:color="auto"/>
          </w:divBdr>
        </w:div>
        <w:div w:id="1248807347">
          <w:marLeft w:val="274"/>
          <w:marRight w:val="0"/>
          <w:marTop w:val="72"/>
          <w:marBottom w:val="0"/>
          <w:divBdr>
            <w:top w:val="none" w:sz="0" w:space="0" w:color="auto"/>
            <w:left w:val="none" w:sz="0" w:space="0" w:color="auto"/>
            <w:bottom w:val="none" w:sz="0" w:space="0" w:color="auto"/>
            <w:right w:val="none" w:sz="0" w:space="0" w:color="auto"/>
          </w:divBdr>
        </w:div>
        <w:div w:id="522019076">
          <w:marLeft w:val="274"/>
          <w:marRight w:val="0"/>
          <w:marTop w:val="72"/>
          <w:marBottom w:val="0"/>
          <w:divBdr>
            <w:top w:val="none" w:sz="0" w:space="0" w:color="auto"/>
            <w:left w:val="none" w:sz="0" w:space="0" w:color="auto"/>
            <w:bottom w:val="none" w:sz="0" w:space="0" w:color="auto"/>
            <w:right w:val="none" w:sz="0" w:space="0" w:color="auto"/>
          </w:divBdr>
        </w:div>
        <w:div w:id="772433191">
          <w:marLeft w:val="274"/>
          <w:marRight w:val="0"/>
          <w:marTop w:val="72"/>
          <w:marBottom w:val="0"/>
          <w:divBdr>
            <w:top w:val="none" w:sz="0" w:space="0" w:color="auto"/>
            <w:left w:val="none" w:sz="0" w:space="0" w:color="auto"/>
            <w:bottom w:val="none" w:sz="0" w:space="0" w:color="auto"/>
            <w:right w:val="none" w:sz="0" w:space="0" w:color="auto"/>
          </w:divBdr>
        </w:div>
        <w:div w:id="1848860843">
          <w:marLeft w:val="274"/>
          <w:marRight w:val="0"/>
          <w:marTop w:val="72"/>
          <w:marBottom w:val="0"/>
          <w:divBdr>
            <w:top w:val="none" w:sz="0" w:space="0" w:color="auto"/>
            <w:left w:val="none" w:sz="0" w:space="0" w:color="auto"/>
            <w:bottom w:val="none" w:sz="0" w:space="0" w:color="auto"/>
            <w:right w:val="none" w:sz="0" w:space="0" w:color="auto"/>
          </w:divBdr>
        </w:div>
        <w:div w:id="1144857416">
          <w:marLeft w:val="274"/>
          <w:marRight w:val="0"/>
          <w:marTop w:val="72"/>
          <w:marBottom w:val="0"/>
          <w:divBdr>
            <w:top w:val="none" w:sz="0" w:space="0" w:color="auto"/>
            <w:left w:val="none" w:sz="0" w:space="0" w:color="auto"/>
            <w:bottom w:val="none" w:sz="0" w:space="0" w:color="auto"/>
            <w:right w:val="none" w:sz="0" w:space="0" w:color="auto"/>
          </w:divBdr>
        </w:div>
        <w:div w:id="1811090397">
          <w:marLeft w:val="274"/>
          <w:marRight w:val="0"/>
          <w:marTop w:val="72"/>
          <w:marBottom w:val="0"/>
          <w:divBdr>
            <w:top w:val="none" w:sz="0" w:space="0" w:color="auto"/>
            <w:left w:val="none" w:sz="0" w:space="0" w:color="auto"/>
            <w:bottom w:val="none" w:sz="0" w:space="0" w:color="auto"/>
            <w:right w:val="none" w:sz="0" w:space="0" w:color="auto"/>
          </w:divBdr>
        </w:div>
        <w:div w:id="940337009">
          <w:marLeft w:val="274"/>
          <w:marRight w:val="0"/>
          <w:marTop w:val="72"/>
          <w:marBottom w:val="0"/>
          <w:divBdr>
            <w:top w:val="none" w:sz="0" w:space="0" w:color="auto"/>
            <w:left w:val="none" w:sz="0" w:space="0" w:color="auto"/>
            <w:bottom w:val="none" w:sz="0" w:space="0" w:color="auto"/>
            <w:right w:val="none" w:sz="0" w:space="0" w:color="auto"/>
          </w:divBdr>
        </w:div>
        <w:div w:id="2056544603">
          <w:marLeft w:val="274"/>
          <w:marRight w:val="0"/>
          <w:marTop w:val="72"/>
          <w:marBottom w:val="0"/>
          <w:divBdr>
            <w:top w:val="none" w:sz="0" w:space="0" w:color="auto"/>
            <w:left w:val="none" w:sz="0" w:space="0" w:color="auto"/>
            <w:bottom w:val="none" w:sz="0" w:space="0" w:color="auto"/>
            <w:right w:val="none" w:sz="0" w:space="0" w:color="auto"/>
          </w:divBdr>
        </w:div>
        <w:div w:id="2137603506">
          <w:marLeft w:val="274"/>
          <w:marRight w:val="0"/>
          <w:marTop w:val="72"/>
          <w:marBottom w:val="0"/>
          <w:divBdr>
            <w:top w:val="none" w:sz="0" w:space="0" w:color="auto"/>
            <w:left w:val="none" w:sz="0" w:space="0" w:color="auto"/>
            <w:bottom w:val="none" w:sz="0" w:space="0" w:color="auto"/>
            <w:right w:val="none" w:sz="0" w:space="0" w:color="auto"/>
          </w:divBdr>
        </w:div>
        <w:div w:id="640618688">
          <w:marLeft w:val="274"/>
          <w:marRight w:val="0"/>
          <w:marTop w:val="72"/>
          <w:marBottom w:val="0"/>
          <w:divBdr>
            <w:top w:val="none" w:sz="0" w:space="0" w:color="auto"/>
            <w:left w:val="none" w:sz="0" w:space="0" w:color="auto"/>
            <w:bottom w:val="none" w:sz="0" w:space="0" w:color="auto"/>
            <w:right w:val="none" w:sz="0" w:space="0" w:color="auto"/>
          </w:divBdr>
        </w:div>
        <w:div w:id="2021664129">
          <w:marLeft w:val="274"/>
          <w:marRight w:val="0"/>
          <w:marTop w:val="72"/>
          <w:marBottom w:val="0"/>
          <w:divBdr>
            <w:top w:val="none" w:sz="0" w:space="0" w:color="auto"/>
            <w:left w:val="none" w:sz="0" w:space="0" w:color="auto"/>
            <w:bottom w:val="none" w:sz="0" w:space="0" w:color="auto"/>
            <w:right w:val="none" w:sz="0" w:space="0" w:color="auto"/>
          </w:divBdr>
        </w:div>
        <w:div w:id="980579806">
          <w:marLeft w:val="27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technicians.org.uk/techniciancommitment/"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microsoft.com/office/2016/09/relationships/commentsIds" Target="commentsIds.xml" Id="rId1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leeds.ac.uk/forstaff/news/125152/technicians_network" TargetMode="External" Id="rId11" /><Relationship Type="http://schemas.openxmlformats.org/officeDocument/2006/relationships/footnotes" Target="footnotes.xml" Id="rId5" /><Relationship Type="http://schemas.openxmlformats.org/officeDocument/2006/relationships/hyperlink" Target="mailto:tracey.dickens@gatsby.org.uk" TargetMode="External" Id="rId10" /><Relationship Type="http://schemas.openxmlformats.org/officeDocument/2006/relationships/webSettings" Target="webSettings.xml" Id="rId4" /><Relationship Type="http://schemas.openxmlformats.org/officeDocument/2006/relationships/hyperlink" Target="mailto:k.vere@sciencecouncil.org" TargetMode="External" Id="rId9" /><Relationship Type="http://schemas.openxmlformats.org/officeDocument/2006/relationships/hyperlink" Target="https://leeds365-my.sharepoint.com/:w:/g/personal/perwebm_leeds_ac_uk/EU0NdAJivLZNqa8OaOHxubEBbcmL4SW68KeYWW914jPSFA?e=F2EbLJ" TargetMode="External" Id="R6b5edce8d8d142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Leicester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Dickens, Tracey L. (Dr.)</dc:creator>
  <keywords/>
  <dc:description/>
  <lastModifiedBy>Kirsten Thompson</lastModifiedBy>
  <revision>6</revision>
  <lastPrinted>2018-10-25T16:17:00.0000000Z</lastPrinted>
  <dcterms:created xsi:type="dcterms:W3CDTF">2018-10-31T11:29:00.0000000Z</dcterms:created>
  <dcterms:modified xsi:type="dcterms:W3CDTF">2018-11-08T15:20:03.4181958Z</dcterms:modified>
</coreProperties>
</file>